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0B" w:rsidRDefault="00F55C0B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VERLIES &amp; WINST (</w:t>
      </w:r>
      <w:r w:rsidR="00A93333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)</w:t>
      </w:r>
      <w:r>
        <w:rPr>
          <w:rStyle w:val="Rimandonotaapidipagina"/>
          <w:sz w:val="28"/>
          <w:szCs w:val="28"/>
        </w:rPr>
        <w:footnoteReference w:customMarkFollows="1" w:id="1"/>
        <w:t>*</w:t>
      </w:r>
    </w:p>
    <w:p w:rsidR="00F55C0B" w:rsidRDefault="00F55C0B">
      <w:pPr>
        <w:spacing w:line="360" w:lineRule="auto"/>
        <w:rPr>
          <w:sz w:val="28"/>
          <w:szCs w:val="28"/>
        </w:rPr>
      </w:pPr>
    </w:p>
    <w:p w:rsidR="00F55C0B" w:rsidRDefault="00F55C0B">
      <w:pPr>
        <w:spacing w:line="360" w:lineRule="auto"/>
        <w:jc w:val="both"/>
        <w:rPr>
          <w:sz w:val="26"/>
          <w:szCs w:val="26"/>
        </w:rPr>
      </w:pPr>
    </w:p>
    <w:p w:rsidR="00DE77E8" w:rsidRDefault="00DE77E8" w:rsidP="00DE77E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Terminato il processo di elaborazione, il budget che il Comitato di direzione della Verlies &amp; </w:t>
      </w:r>
      <w:proofErr w:type="gramStart"/>
      <w:r>
        <w:rPr>
          <w:sz w:val="24"/>
          <w:szCs w:val="24"/>
        </w:rPr>
        <w:t xml:space="preserve">Winst </w:t>
      </w:r>
      <w:r w:rsidR="001D2274">
        <w:rPr>
          <w:sz w:val="24"/>
          <w:szCs w:val="24"/>
        </w:rPr>
        <w:t xml:space="preserve"> decide</w:t>
      </w:r>
      <w:proofErr w:type="gramEnd"/>
      <w:r w:rsidR="001D2274">
        <w:rPr>
          <w:sz w:val="24"/>
          <w:szCs w:val="24"/>
        </w:rPr>
        <w:t xml:space="preserve"> di approvare per il 1996 è quello elaborato tenendo conto delle azioni da intraprendere per attuare la strategia deliberata (strategy exec</w:t>
      </w:r>
      <w:r>
        <w:rPr>
          <w:sz w:val="24"/>
          <w:szCs w:val="24"/>
        </w:rPr>
        <w:t>ution) e presentato in Allegato</w:t>
      </w:r>
      <w:r w:rsidR="001D2274">
        <w:rPr>
          <w:sz w:val="24"/>
          <w:szCs w:val="24"/>
        </w:rPr>
        <w:t xml:space="preserve">1. </w:t>
      </w:r>
    </w:p>
    <w:p w:rsidR="00DE77E8" w:rsidRDefault="00DE77E8" w:rsidP="00DE77E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Come si può notare i</w:t>
      </w:r>
      <w:r w:rsidR="001D2274">
        <w:rPr>
          <w:sz w:val="24"/>
          <w:szCs w:val="24"/>
        </w:rPr>
        <w:t>l budget annuale è stato suddiviso in 4 trimestri per rendere possibile un reporting infra</w:t>
      </w:r>
      <w:r>
        <w:rPr>
          <w:sz w:val="24"/>
          <w:szCs w:val="24"/>
        </w:rPr>
        <w:t xml:space="preserve"> a</w:t>
      </w:r>
      <w:r w:rsidR="001D2274">
        <w:rPr>
          <w:sz w:val="24"/>
          <w:szCs w:val="24"/>
        </w:rPr>
        <w:t xml:space="preserve">nnuale e una sistematica attività di verifica dei risultati conseguiti. </w:t>
      </w:r>
    </w:p>
    <w:p w:rsidR="00EE24F8" w:rsidRDefault="001D2274" w:rsidP="00DE77E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Così alla fine dei primi tre mesi furono disponibili i risultati effettivi (Allegato 2) e Mr. Winst convocò immediatamente una riunione</w:t>
      </w:r>
      <w:r w:rsidR="00DE77E8">
        <w:rPr>
          <w:sz w:val="24"/>
          <w:szCs w:val="24"/>
        </w:rPr>
        <w:t xml:space="preserve"> del Comitato di direzione</w:t>
      </w:r>
      <w:r>
        <w:rPr>
          <w:sz w:val="24"/>
          <w:szCs w:val="24"/>
        </w:rPr>
        <w:t xml:space="preserve"> per discuterli. Chiese anche al controller, Mr. Verlies, di fornirgli delle informazioni che gli consentissero di capire al meglio come si stessero evolvendo i risultati effettivi rispetto a quelli di budget. Il controller pensò di impostare un’analisi utilizzando un foglio di lavoro come quello presentato in Allegato 3. Inoltre chiese al </w:t>
      </w:r>
      <w:r w:rsidR="00EE24F8">
        <w:rPr>
          <w:sz w:val="24"/>
          <w:szCs w:val="24"/>
        </w:rPr>
        <w:t xml:space="preserve">controller di verificare anche l’impatto dell’eventuale lancio di un nuovo prodotto, una scatoletta porta </w:t>
      </w:r>
      <w:r w:rsidR="00DE77E8">
        <w:rPr>
          <w:sz w:val="24"/>
          <w:szCs w:val="24"/>
        </w:rPr>
        <w:t>“</w:t>
      </w:r>
      <w:r w:rsidR="00EE24F8">
        <w:rPr>
          <w:sz w:val="24"/>
          <w:szCs w:val="24"/>
        </w:rPr>
        <w:t>business card</w:t>
      </w:r>
      <w:r w:rsidR="00DE77E8">
        <w:rPr>
          <w:sz w:val="24"/>
          <w:szCs w:val="24"/>
        </w:rPr>
        <w:t>”,</w:t>
      </w:r>
      <w:r w:rsidR="00EE24F8">
        <w:rPr>
          <w:sz w:val="24"/>
          <w:szCs w:val="24"/>
        </w:rPr>
        <w:t xml:space="preserve"> organizzabile in vari comparti</w:t>
      </w:r>
      <w:r w:rsidR="00DE77E8">
        <w:rPr>
          <w:sz w:val="24"/>
          <w:szCs w:val="24"/>
        </w:rPr>
        <w:t xml:space="preserve"> e non solo in ordine alfabetico</w:t>
      </w:r>
      <w:r w:rsidR="00EE24F8">
        <w:rPr>
          <w:sz w:val="24"/>
          <w:szCs w:val="24"/>
        </w:rPr>
        <w:t xml:space="preserve">. </w:t>
      </w:r>
    </w:p>
    <w:p w:rsidR="00EE24F8" w:rsidRDefault="00EE24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questo nuovo prodotto si pensava di poterne vendere </w:t>
      </w:r>
      <w:r w:rsidR="00DE77E8">
        <w:rPr>
          <w:sz w:val="24"/>
          <w:szCs w:val="24"/>
        </w:rPr>
        <w:t xml:space="preserve">già </w:t>
      </w:r>
      <w:r>
        <w:rPr>
          <w:sz w:val="24"/>
          <w:szCs w:val="24"/>
        </w:rPr>
        <w:t>nel 1996</w:t>
      </w:r>
      <w:r w:rsidR="00DE77E8">
        <w:rPr>
          <w:sz w:val="24"/>
          <w:szCs w:val="24"/>
        </w:rPr>
        <w:t xml:space="preserve"> almeno</w:t>
      </w:r>
      <w:r>
        <w:rPr>
          <w:sz w:val="24"/>
          <w:szCs w:val="24"/>
        </w:rPr>
        <w:t xml:space="preserve"> 200.000 pezzi, ad un prezzo di 4,00$. </w:t>
      </w:r>
    </w:p>
    <w:p w:rsidR="00EE24F8" w:rsidRDefault="00EE24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produzione aveva fornito dei dati per cui il costo variabile unitario si sarebbe attestato intorno ai 2,75$ con dei tempi tecnici in termini di ore macchina intorno alle 0,30</w:t>
      </w:r>
      <w:r w:rsidR="00003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ore macchina. </w:t>
      </w:r>
    </w:p>
    <w:p w:rsidR="00EE24F8" w:rsidRDefault="00EE24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All’esterno il terzista di fiducia della V&amp;W gli avrebbe realizzato questo nuovo prodotto per 3$ al pezzo. </w:t>
      </w:r>
    </w:p>
    <w:p w:rsidR="00EE24F8" w:rsidRDefault="00EE24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erano peraltro da sostenere alcuni costi di promozione/comunic</w:t>
      </w:r>
      <w:r w:rsidR="00DE77E8">
        <w:rPr>
          <w:sz w:val="24"/>
          <w:szCs w:val="24"/>
        </w:rPr>
        <w:t>azione per 35.000$, mentre de</w:t>
      </w:r>
      <w:r>
        <w:rPr>
          <w:sz w:val="24"/>
          <w:szCs w:val="24"/>
        </w:rPr>
        <w:t>l lancio del</w:t>
      </w:r>
      <w:r w:rsidR="00DE77E8">
        <w:rPr>
          <w:sz w:val="24"/>
          <w:szCs w:val="24"/>
        </w:rPr>
        <w:t xml:space="preserve"> nuovo</w:t>
      </w:r>
      <w:r>
        <w:rPr>
          <w:sz w:val="24"/>
          <w:szCs w:val="24"/>
        </w:rPr>
        <w:t xml:space="preserve"> prodotto si sarebbe potuto occupare </w:t>
      </w:r>
      <w:r w:rsidR="00DE77E8"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 xml:space="preserve"> manager del </w:t>
      </w:r>
      <w:proofErr w:type="spellStart"/>
      <w:r>
        <w:rPr>
          <w:sz w:val="24"/>
          <w:szCs w:val="24"/>
        </w:rPr>
        <w:t>Dagmat</w:t>
      </w:r>
      <w:proofErr w:type="spellEnd"/>
      <w:r>
        <w:rPr>
          <w:sz w:val="24"/>
          <w:szCs w:val="24"/>
        </w:rPr>
        <w:t>.</w:t>
      </w:r>
    </w:p>
    <w:p w:rsidR="007F6B1A" w:rsidRDefault="007F6B1A">
      <w:pPr>
        <w:spacing w:line="360" w:lineRule="auto"/>
        <w:jc w:val="both"/>
        <w:rPr>
          <w:sz w:val="24"/>
          <w:szCs w:val="24"/>
        </w:rPr>
      </w:pPr>
    </w:p>
    <w:p w:rsidR="007F6B1A" w:rsidRDefault="007F6B1A">
      <w:pPr>
        <w:spacing w:line="360" w:lineRule="auto"/>
        <w:jc w:val="both"/>
        <w:rPr>
          <w:sz w:val="24"/>
          <w:szCs w:val="24"/>
        </w:rPr>
      </w:pPr>
    </w:p>
    <w:p w:rsidR="00EE24F8" w:rsidRDefault="00EE24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Insomma Mr. Winst voleva capire se gli conveniva o meno lanciare questo nuovo prodotto</w:t>
      </w:r>
      <w:r w:rsidR="00DE77E8">
        <w:rPr>
          <w:sz w:val="24"/>
          <w:szCs w:val="24"/>
        </w:rPr>
        <w:t>, visti</w:t>
      </w:r>
      <w:r w:rsidR="00467195">
        <w:rPr>
          <w:sz w:val="24"/>
          <w:szCs w:val="24"/>
        </w:rPr>
        <w:t xml:space="preserve"> </w:t>
      </w:r>
      <w:r w:rsidR="00DE77E8">
        <w:rPr>
          <w:sz w:val="24"/>
          <w:szCs w:val="24"/>
        </w:rPr>
        <w:t>i risultati del primo trimestre e l’e</w:t>
      </w:r>
      <w:r w:rsidR="00467195">
        <w:rPr>
          <w:sz w:val="24"/>
          <w:szCs w:val="24"/>
        </w:rPr>
        <w:t>vidente andamento stagionale dei</w:t>
      </w:r>
      <w:r w:rsidR="00DE77E8">
        <w:rPr>
          <w:sz w:val="24"/>
          <w:szCs w:val="24"/>
        </w:rPr>
        <w:t xml:space="preserve"> flussi di reddito</w:t>
      </w:r>
      <w:r w:rsidR="00467195">
        <w:rPr>
          <w:sz w:val="24"/>
          <w:szCs w:val="24"/>
        </w:rPr>
        <w:t xml:space="preserve"> e dei collegati flussi finanziari</w:t>
      </w:r>
      <w:r w:rsidR="00DE77E8">
        <w:rPr>
          <w:sz w:val="24"/>
          <w:szCs w:val="24"/>
        </w:rPr>
        <w:t xml:space="preserve"> della V&amp;W</w:t>
      </w:r>
      <w:r>
        <w:rPr>
          <w:sz w:val="24"/>
          <w:szCs w:val="24"/>
        </w:rPr>
        <w:t>.</w:t>
      </w:r>
    </w:p>
    <w:p w:rsidR="001D2274" w:rsidRDefault="001D2274">
      <w:pPr>
        <w:spacing w:line="360" w:lineRule="auto"/>
        <w:jc w:val="both"/>
        <w:rPr>
          <w:sz w:val="24"/>
          <w:szCs w:val="24"/>
        </w:rPr>
      </w:pPr>
    </w:p>
    <w:p w:rsidR="00F55C0B" w:rsidRDefault="00F55C0B">
      <w:pPr>
        <w:spacing w:line="360" w:lineRule="auto"/>
        <w:jc w:val="both"/>
        <w:rPr>
          <w:sz w:val="24"/>
          <w:szCs w:val="24"/>
        </w:rPr>
      </w:pPr>
    </w:p>
    <w:p w:rsidR="00F55C0B" w:rsidRDefault="00F55C0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EE24F8">
        <w:rPr>
          <w:sz w:val="24"/>
          <w:szCs w:val="24"/>
          <w:u w:val="single"/>
        </w:rPr>
        <w:lastRenderedPageBreak/>
        <w:t>Allegato</w:t>
      </w:r>
      <w:r>
        <w:rPr>
          <w:sz w:val="24"/>
          <w:szCs w:val="24"/>
          <w:u w:val="single"/>
        </w:rPr>
        <w:t xml:space="preserve"> 1</w:t>
      </w:r>
    </w:p>
    <w:p w:rsidR="00F55C0B" w:rsidRDefault="00F55C0B">
      <w:pPr>
        <w:spacing w:line="360" w:lineRule="auto"/>
        <w:jc w:val="center"/>
        <w:rPr>
          <w:sz w:val="24"/>
          <w:szCs w:val="24"/>
          <w:u w:val="single"/>
        </w:rPr>
      </w:pPr>
    </w:p>
    <w:p w:rsidR="00F55C0B" w:rsidRDefault="00EE24F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F55C0B">
        <w:rPr>
          <w:b/>
          <w:bCs/>
          <w:sz w:val="24"/>
          <w:szCs w:val="24"/>
          <w:u w:val="single"/>
        </w:rPr>
        <w:t>udget per l'anno 1996</w:t>
      </w:r>
    </w:p>
    <w:p w:rsidR="00003DD0" w:rsidRDefault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003DD0" w:rsidRDefault="00BE3591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61.75pt">
            <v:imagedata r:id="rId7" o:title=""/>
          </v:shape>
        </w:pict>
      </w:r>
    </w:p>
    <w:p w:rsidR="00003DD0" w:rsidRDefault="00003DD0">
      <w:pPr>
        <w:spacing w:line="360" w:lineRule="auto"/>
        <w:jc w:val="center"/>
      </w:pPr>
    </w:p>
    <w:p w:rsidR="00003DD0" w:rsidRDefault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003DD0" w:rsidRDefault="00003DD0" w:rsidP="00003D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primo trimestre si è prodotto e venduto solo il </w:t>
      </w:r>
      <w:proofErr w:type="spellStart"/>
      <w:r>
        <w:rPr>
          <w:sz w:val="24"/>
          <w:szCs w:val="24"/>
        </w:rPr>
        <w:t>Telemat</w:t>
      </w:r>
      <w:proofErr w:type="spellEnd"/>
      <w:r>
        <w:rPr>
          <w:sz w:val="24"/>
          <w:szCs w:val="24"/>
        </w:rPr>
        <w:t>.</w:t>
      </w:r>
    </w:p>
    <w:p w:rsidR="005725EB" w:rsidRDefault="005725EB" w:rsidP="00003DD0">
      <w:pPr>
        <w:spacing w:line="360" w:lineRule="auto"/>
        <w:jc w:val="both"/>
        <w:rPr>
          <w:sz w:val="24"/>
          <w:szCs w:val="24"/>
        </w:rPr>
      </w:pPr>
    </w:p>
    <w:p w:rsidR="00003DD0" w:rsidRDefault="005725EB" w:rsidP="005725E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Allegato 2</w:t>
      </w:r>
    </w:p>
    <w:p w:rsidR="00003DD0" w:rsidRDefault="00003DD0" w:rsidP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Budget 1° trimestre 1996</w:t>
      </w:r>
    </w:p>
    <w:p w:rsidR="00003DD0" w:rsidRDefault="00003DD0" w:rsidP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003DD0" w:rsidRDefault="00BE3591" w:rsidP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pict>
          <v:shape id="_x0000_i1026" type="#_x0000_t75" style="width:452.25pt;height:252pt">
            <v:imagedata r:id="rId8" o:title=""/>
          </v:shape>
        </w:pict>
      </w:r>
    </w:p>
    <w:p w:rsidR="00003DD0" w:rsidRDefault="00003DD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5725EB" w:rsidP="005725E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Allegato 3</w:t>
      </w:r>
    </w:p>
    <w:p w:rsidR="005725EB" w:rsidRDefault="005725EB" w:rsidP="005725EB">
      <w:pPr>
        <w:spacing w:line="360" w:lineRule="auto"/>
        <w:jc w:val="center"/>
        <w:rPr>
          <w:sz w:val="24"/>
          <w:szCs w:val="24"/>
          <w:u w:val="single"/>
        </w:rPr>
      </w:pPr>
    </w:p>
    <w:p w:rsidR="005725EB" w:rsidRDefault="005725EB" w:rsidP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 per Mr. Winst </w:t>
      </w:r>
    </w:p>
    <w:p w:rsidR="005725EB" w:rsidRDefault="005725EB" w:rsidP="005725EB">
      <w:pPr>
        <w:spacing w:line="360" w:lineRule="auto"/>
        <w:jc w:val="center"/>
        <w:rPr>
          <w:sz w:val="24"/>
          <w:szCs w:val="24"/>
        </w:rPr>
      </w:pPr>
    </w:p>
    <w:p w:rsidR="005725EB" w:rsidRDefault="005725E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725EB" w:rsidRDefault="00BE3591">
      <w:pPr>
        <w:spacing w:line="360" w:lineRule="auto"/>
        <w:jc w:val="center"/>
      </w:pPr>
      <w:r>
        <w:pict>
          <v:shape id="_x0000_i1027" type="#_x0000_t75" style="width:449.25pt;height:267.75pt">
            <v:imagedata r:id="rId9" o:title=""/>
          </v:shape>
        </w:pict>
      </w: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>
      <w:pPr>
        <w:spacing w:line="360" w:lineRule="auto"/>
        <w:jc w:val="center"/>
      </w:pPr>
    </w:p>
    <w:p w:rsidR="00700897" w:rsidRDefault="00700897" w:rsidP="007008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controller disponeva anche di questi dati</w:t>
      </w:r>
    </w:p>
    <w:p w:rsidR="00700897" w:rsidRDefault="00700897" w:rsidP="00700897">
      <w:pPr>
        <w:spacing w:line="360" w:lineRule="auto"/>
        <w:jc w:val="both"/>
        <w:rPr>
          <w:sz w:val="24"/>
          <w:szCs w:val="24"/>
        </w:rPr>
      </w:pPr>
    </w:p>
    <w:p w:rsidR="00700897" w:rsidRDefault="00700897" w:rsidP="00700897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di vendita </w:t>
            </w:r>
            <w:proofErr w:type="spellStart"/>
            <w:r>
              <w:rPr>
                <w:sz w:val="24"/>
                <w:szCs w:val="24"/>
              </w:rPr>
              <w:t>Telemat</w:t>
            </w:r>
            <w:proofErr w:type="spellEnd"/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73.333 unità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di produzione </w:t>
            </w:r>
            <w:proofErr w:type="spellStart"/>
            <w:r>
              <w:rPr>
                <w:sz w:val="24"/>
                <w:szCs w:val="24"/>
              </w:rPr>
              <w:t>Telemat</w:t>
            </w:r>
            <w:proofErr w:type="spellEnd"/>
          </w:p>
        </w:tc>
        <w:tc>
          <w:tcPr>
            <w:tcW w:w="4605" w:type="dxa"/>
          </w:tcPr>
          <w:p w:rsidR="00700897" w:rsidRDefault="00BE3591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bookmarkStart w:id="0" w:name="_GoBack"/>
            <w:bookmarkEnd w:id="0"/>
            <w:r w:rsidR="00700897">
              <w:rPr>
                <w:sz w:val="24"/>
                <w:szCs w:val="24"/>
              </w:rPr>
              <w:t>.333 unità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materie prime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Prezzo-costo </w:t>
            </w:r>
            <w:proofErr w:type="spellStart"/>
            <w:r>
              <w:rPr>
                <w:sz w:val="24"/>
                <w:szCs w:val="24"/>
              </w:rPr>
              <w:t>mat</w:t>
            </w:r>
            <w:proofErr w:type="spellEnd"/>
            <w:r>
              <w:rPr>
                <w:sz w:val="24"/>
                <w:szCs w:val="24"/>
              </w:rPr>
              <w:t>. 1° 4,8 mp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 di materie prime effettivo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8.726 mp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M.O.D.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41.884,8 $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Costo orario 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5$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M.O.D. effettive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3.411,52 ore</w:t>
            </w:r>
          </w:p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34.115,2 $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costi variabili effettivi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76.000</w:t>
            </w:r>
          </w:p>
        </w:tc>
      </w:tr>
      <w:tr w:rsidR="00700897" w:rsidTr="00700897"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Scorte</w:t>
            </w:r>
          </w:p>
        </w:tc>
        <w:tc>
          <w:tcPr>
            <w:tcW w:w="4605" w:type="dxa"/>
          </w:tcPr>
          <w:p w:rsidR="00700897" w:rsidRDefault="00700897" w:rsidP="00700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+6000 pezzi</w:t>
            </w:r>
          </w:p>
        </w:tc>
      </w:tr>
    </w:tbl>
    <w:p w:rsidR="00700897" w:rsidRDefault="00700897" w:rsidP="00700897">
      <w:pPr>
        <w:spacing w:line="360" w:lineRule="auto"/>
        <w:jc w:val="both"/>
        <w:rPr>
          <w:sz w:val="24"/>
          <w:szCs w:val="24"/>
        </w:rPr>
      </w:pPr>
    </w:p>
    <w:p w:rsidR="00700897" w:rsidRDefault="00BE359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pict>
          <v:shape id="_x0000_i1028" type="#_x0000_t75" style="width:448.5pt;height:168pt">
            <v:imagedata r:id="rId10" o:title=""/>
          </v:shape>
        </w:pict>
      </w:r>
    </w:p>
    <w:sectPr w:rsidR="00700897">
      <w:headerReference w:type="default" r:id="rId11"/>
      <w:footerReference w:type="default" r:id="rId12"/>
      <w:pgSz w:w="11906" w:h="16838" w:code="9"/>
      <w:pgMar w:top="2552" w:right="1418" w:bottom="226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BF" w:rsidRDefault="00AF03BF">
      <w:r>
        <w:separator/>
      </w:r>
    </w:p>
  </w:endnote>
  <w:endnote w:type="continuationSeparator" w:id="0">
    <w:p w:rsidR="00AF03BF" w:rsidRDefault="00A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0B" w:rsidRDefault="00BE3591">
    <w:pPr>
      <w:pStyle w:val="Pidipagina"/>
    </w:pPr>
    <w:r>
      <w:rPr>
        <w:noProof/>
      </w:rPr>
      <w:pict>
        <v:line id="_x0000_s2051" style="position:absolute;z-index:251656704" from="-20.5pt,7.95pt" to="469.1pt,7.95pt" o:allowincell="f"/>
      </w:pict>
    </w:r>
  </w:p>
  <w:p w:rsidR="00F55C0B" w:rsidRDefault="00F55C0B">
    <w:pPr>
      <w:pStyle w:val="Pidipagina"/>
    </w:pPr>
  </w:p>
  <w:p w:rsidR="00F55C0B" w:rsidRDefault="00F55C0B">
    <w:pPr>
      <w:pStyle w:val="Pidipagina"/>
      <w:ind w:left="-1560"/>
      <w:jc w:val="center"/>
      <w:rPr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24"/>
        <w:szCs w:val="24"/>
      </w:rPr>
      <w:t xml:space="preserve">                        </w:t>
    </w: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 PAGE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BE3591">
      <w:rPr>
        <w:rStyle w:val="Numeropagina"/>
        <w:rFonts w:ascii="Arial" w:hAnsi="Arial" w:cs="Arial"/>
        <w:noProof/>
        <w:sz w:val="18"/>
        <w:szCs w:val="18"/>
      </w:rPr>
      <w:t>6</w:t>
    </w:r>
    <w:r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BF" w:rsidRDefault="00AF03BF">
      <w:r>
        <w:separator/>
      </w:r>
    </w:p>
  </w:footnote>
  <w:footnote w:type="continuationSeparator" w:id="0">
    <w:p w:rsidR="00AF03BF" w:rsidRDefault="00AF03BF">
      <w:r>
        <w:continuationSeparator/>
      </w:r>
    </w:p>
  </w:footnote>
  <w:footnote w:id="1">
    <w:p w:rsidR="0094657C" w:rsidRDefault="00F55C0B">
      <w:pPr>
        <w:pStyle w:val="Testonotaapidipagina"/>
      </w:pPr>
      <w:r>
        <w:rPr>
          <w:rStyle w:val="Rimandonotaapidipagina"/>
        </w:rPr>
        <w:t>*</w:t>
      </w:r>
      <w:r>
        <w:t xml:space="preserve"> Questo caso è una rielaborazione, a cura del Prof. Alberto Bubbio, del testo originariamente predisposto da G. </w:t>
      </w:r>
      <w:proofErr w:type="spellStart"/>
      <w:r>
        <w:t>Shillinglaw</w:t>
      </w:r>
      <w:proofErr w:type="spellEnd"/>
      <w:r>
        <w:t>, con il solo scopo di fornire materiale per la discussione in aula nei corsi universitari e di formazione manageriale.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0B" w:rsidRDefault="00BE3591">
    <w:pPr>
      <w:pStyle w:val="Corpotest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21.35pt;width:108pt;height:44.7pt;z-index:251658752;visibility:visible;mso-wrap-edited:f" o:allowincell="f" fillcolor="window">
          <v:imagedata r:id="rId1" o:title=""/>
        </v:shape>
        <o:OLEObject Type="Embed" ProgID="Word.Picture.8" ShapeID="_x0000_s2049" DrawAspect="Content" ObjectID="_1523262543" r:id="rId2"/>
      </w:object>
    </w:r>
    <w:r>
      <w:rPr>
        <w:noProof/>
      </w:rPr>
      <w:pict>
        <v:line id="_x0000_s2050" style="position:absolute;left:0;text-align:left;z-index:251657728" from="15.5pt,35.85pt" to="456.85pt,35.85pt" o:allowincell="f"/>
      </w:pict>
    </w:r>
  </w:p>
  <w:p w:rsidR="00F55C0B" w:rsidRDefault="00F55C0B">
    <w:pPr>
      <w:pStyle w:val="IntestazioneCCB"/>
    </w:pPr>
    <w:r>
      <w:tab/>
    </w:r>
    <w:r>
      <w:tab/>
      <w:t xml:space="preserve"> </w:t>
    </w:r>
  </w:p>
  <w:p w:rsidR="00F55C0B" w:rsidRDefault="00F55C0B">
    <w:pPr>
      <w:pStyle w:val="IntestazioneLIUC"/>
      <w:ind w:left="-567"/>
      <w:rPr>
        <w:noProof/>
      </w:rPr>
    </w:pPr>
    <w:r>
      <w:rPr>
        <w:noProof/>
      </w:rPr>
      <w:t xml:space="preserve">                        </w:t>
    </w:r>
  </w:p>
  <w:p w:rsidR="00F55C0B" w:rsidRDefault="00F55C0B">
    <w:pPr>
      <w:pStyle w:val="Corpotesto"/>
      <w:rPr>
        <w:noProof/>
      </w:rPr>
    </w:pPr>
  </w:p>
  <w:p w:rsidR="00F55C0B" w:rsidRDefault="00F55C0B">
    <w:pPr>
      <w:pStyle w:val="Corpotesto"/>
      <w:rPr>
        <w:noProof/>
      </w:rPr>
    </w:pPr>
  </w:p>
  <w:p w:rsidR="00F55C0B" w:rsidRDefault="00F55C0B">
    <w:pPr>
      <w:pStyle w:val="Intestazione"/>
      <w:ind w:left="-15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0D72F0"/>
    <w:multiLevelType w:val="singleLevel"/>
    <w:tmpl w:val="3A74F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713FA"/>
    <w:multiLevelType w:val="singleLevel"/>
    <w:tmpl w:val="5AC0D1A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E456A5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2431EA"/>
    <w:multiLevelType w:val="singleLevel"/>
    <w:tmpl w:val="5644CC28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4E731F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0061BE"/>
    <w:multiLevelType w:val="singleLevel"/>
    <w:tmpl w:val="3C20F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0592044"/>
    <w:multiLevelType w:val="singleLevel"/>
    <w:tmpl w:val="5AC0D1A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52C9274B"/>
    <w:multiLevelType w:val="singleLevel"/>
    <w:tmpl w:val="16CCE1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B8B396D"/>
    <w:multiLevelType w:val="singleLevel"/>
    <w:tmpl w:val="3C20F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2C6214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3353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2E5FE5"/>
    <w:multiLevelType w:val="singleLevel"/>
    <w:tmpl w:val="16CC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333"/>
    <w:rsid w:val="00003DD0"/>
    <w:rsid w:val="001D2274"/>
    <w:rsid w:val="00467195"/>
    <w:rsid w:val="005725EB"/>
    <w:rsid w:val="00700897"/>
    <w:rsid w:val="007823E7"/>
    <w:rsid w:val="007F6B1A"/>
    <w:rsid w:val="0094657C"/>
    <w:rsid w:val="00A93333"/>
    <w:rsid w:val="00AF03BF"/>
    <w:rsid w:val="00BE3591"/>
    <w:rsid w:val="00D4695E"/>
    <w:rsid w:val="00DE77E8"/>
    <w:rsid w:val="00EE24F8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35B862"/>
  <w14:defaultImageDpi w14:val="0"/>
  <w15:docId w15:val="{83F34530-0830-401F-900F-C1E2117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 Narrow" w:hAnsi="Arial Narrow" w:cs="Arial Narrow"/>
      <w:b/>
      <w:bCs/>
      <w:kern w:val="2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12"/>
      </w:numPr>
      <w:outlineLvl w:val="4"/>
    </w:pPr>
    <w:rPr>
      <w:b/>
      <w:bCs/>
      <w:color w:val="00000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pacing w:line="360" w:lineRule="auto"/>
      <w:jc w:val="both"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line="360" w:lineRule="auto"/>
      <w:jc w:val="both"/>
      <w:outlineLvl w:val="7"/>
    </w:pPr>
    <w:rPr>
      <w:b/>
      <w:bCs/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autoRedefine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line="360" w:lineRule="auto"/>
      <w:jc w:val="both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spacing w:line="360" w:lineRule="auto"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pPr>
      <w:spacing w:line="360" w:lineRule="auto"/>
      <w:ind w:left="142" w:hanging="142"/>
      <w:jc w:val="both"/>
    </w:pPr>
    <w:rPr>
      <w:sz w:val="18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sz w:val="18"/>
      <w:szCs w:val="18"/>
      <w:vertAlign w:val="superscript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 w:line="360" w:lineRule="auto"/>
      <w:jc w:val="both"/>
    </w:pPr>
    <w:rPr>
      <w:b/>
      <w:bCs/>
      <w:sz w:val="22"/>
      <w:szCs w:val="22"/>
    </w:rPr>
  </w:style>
  <w:style w:type="paragraph" w:customStyle="1" w:styleId="IntestazioneCCB">
    <w:name w:val="Intestazione CCB"/>
    <w:basedOn w:val="IntestazioneLIUC"/>
    <w:autoRedefine/>
    <w:uiPriority w:val="99"/>
    <w:pPr>
      <w:spacing w:after="60"/>
      <w:ind w:left="-1559" w:firstLine="992"/>
    </w:pPr>
    <w:rPr>
      <w:b w:val="0"/>
      <w:bCs w:val="0"/>
      <w:noProof/>
      <w:lang w:val="en-US"/>
    </w:rPr>
  </w:style>
  <w:style w:type="paragraph" w:customStyle="1" w:styleId="Codice">
    <w:name w:val="Codice"/>
    <w:basedOn w:val="IntestazioneLIUC"/>
    <w:uiPriority w:val="99"/>
    <w:pPr>
      <w:tabs>
        <w:tab w:val="right" w:pos="7655"/>
      </w:tabs>
      <w:ind w:firstLine="993"/>
    </w:pPr>
    <w:rPr>
      <w:noProof/>
      <w:lang w:val="en-US"/>
    </w:rPr>
  </w:style>
  <w:style w:type="paragraph" w:customStyle="1" w:styleId="IntestazioneLIUC">
    <w:name w:val="Intestazione LIUC"/>
    <w:basedOn w:val="Intestazione"/>
    <w:uiPriority w:val="99"/>
    <w:pPr>
      <w:tabs>
        <w:tab w:val="right" w:pos="8222"/>
      </w:tabs>
      <w:ind w:left="-1560"/>
    </w:pPr>
    <w:rPr>
      <w:b/>
      <w:bCs/>
      <w:smallCaps/>
      <w:sz w:val="18"/>
      <w:szCs w:val="18"/>
    </w:rPr>
  </w:style>
  <w:style w:type="paragraph" w:styleId="Titolo">
    <w:name w:val="Title"/>
    <w:basedOn w:val="Normale"/>
    <w:link w:val="TitoloCarattere"/>
    <w:autoRedefine/>
    <w:uiPriority w:val="99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ientronormale">
    <w:name w:val="Normal Indent"/>
    <w:basedOn w:val="Normale"/>
    <w:uiPriority w:val="99"/>
    <w:pPr>
      <w:ind w:left="708"/>
    </w:pPr>
    <w:rPr>
      <w:rFonts w:ascii="Tms Rmn" w:hAnsi="Tms Rmn" w:cs="Tms Rmn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left="567" w:hanging="340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3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33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0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CAMILLO BUSSOLATI</vt:lpstr>
    </vt:vector>
  </TitlesOfParts>
  <Company>Poli Ing. Alberto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CAMILLO BUSSOLATI</dc:title>
  <dc:subject/>
  <dc:creator>DIMENSIONE CONTROLLO LAB. SRL</dc:creator>
  <cp:keywords/>
  <dc:description/>
  <cp:lastModifiedBy>Alberto Bubbio</cp:lastModifiedBy>
  <cp:revision>2</cp:revision>
  <cp:lastPrinted>2016-04-18T07:56:00Z</cp:lastPrinted>
  <dcterms:created xsi:type="dcterms:W3CDTF">2016-04-27T09:43:00Z</dcterms:created>
  <dcterms:modified xsi:type="dcterms:W3CDTF">2016-04-27T09:43:00Z</dcterms:modified>
</cp:coreProperties>
</file>