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47" w:rsidRDefault="009B0447" w:rsidP="00AD6174">
      <w:pPr>
        <w:spacing w:line="360" w:lineRule="auto"/>
        <w:jc w:val="center"/>
        <w:rPr>
          <w:b/>
          <w:i/>
          <w:sz w:val="32"/>
          <w:szCs w:val="32"/>
        </w:rPr>
      </w:pPr>
      <w:r>
        <w:rPr>
          <w:b/>
          <w:i/>
          <w:sz w:val="32"/>
          <w:szCs w:val="32"/>
        </w:rPr>
        <w:t>____________________________________________________________</w:t>
      </w:r>
    </w:p>
    <w:p w:rsidR="00846415" w:rsidRDefault="00846D73" w:rsidP="00AD6174">
      <w:pPr>
        <w:spacing w:line="360" w:lineRule="auto"/>
        <w:jc w:val="center"/>
        <w:rPr>
          <w:b/>
          <w:i/>
          <w:sz w:val="32"/>
          <w:szCs w:val="32"/>
        </w:rPr>
      </w:pPr>
      <w:r>
        <w:rPr>
          <w:b/>
          <w:i/>
          <w:sz w:val="32"/>
          <w:szCs w:val="32"/>
        </w:rPr>
        <w:t xml:space="preserve">  </w:t>
      </w:r>
      <w:r w:rsidR="0061199B">
        <w:rPr>
          <w:b/>
          <w:i/>
          <w:sz w:val="32"/>
          <w:szCs w:val="32"/>
        </w:rPr>
        <w:t>Costo di prodotto: a qualcuno piace pieno</w:t>
      </w:r>
      <w:r w:rsidR="0061199B">
        <w:rPr>
          <w:rStyle w:val="Rimandonotaapidipagina"/>
          <w:b/>
          <w:i/>
          <w:sz w:val="32"/>
          <w:szCs w:val="32"/>
        </w:rPr>
        <w:footnoteReference w:id="1"/>
      </w:r>
    </w:p>
    <w:p w:rsidR="009B0447" w:rsidRDefault="00846D73" w:rsidP="00AD6174">
      <w:pPr>
        <w:spacing w:line="360" w:lineRule="auto"/>
        <w:jc w:val="center"/>
        <w:rPr>
          <w:b/>
          <w:i/>
          <w:sz w:val="32"/>
          <w:szCs w:val="32"/>
        </w:rPr>
      </w:pPr>
      <w:r>
        <w:rPr>
          <w:b/>
          <w:i/>
          <w:sz w:val="32"/>
          <w:szCs w:val="32"/>
        </w:rPr>
        <w:t>__</w:t>
      </w:r>
      <w:r w:rsidR="002C2FA6">
        <w:rPr>
          <w:b/>
          <w:i/>
          <w:sz w:val="32"/>
          <w:szCs w:val="32"/>
        </w:rPr>
        <w:t>___________</w:t>
      </w:r>
      <w:r w:rsidR="00AB0BAD">
        <w:rPr>
          <w:b/>
          <w:i/>
          <w:sz w:val="32"/>
          <w:szCs w:val="32"/>
        </w:rPr>
        <w:t>__</w:t>
      </w:r>
      <w:r w:rsidR="002C2FA6">
        <w:rPr>
          <w:b/>
          <w:i/>
          <w:sz w:val="32"/>
          <w:szCs w:val="32"/>
        </w:rPr>
        <w:t>______</w:t>
      </w:r>
      <w:r w:rsidR="00AB0BAD">
        <w:rPr>
          <w:b/>
          <w:i/>
          <w:sz w:val="32"/>
          <w:szCs w:val="32"/>
        </w:rPr>
        <w:t>_</w:t>
      </w:r>
      <w:r w:rsidR="0061199B">
        <w:rPr>
          <w:b/>
          <w:i/>
          <w:sz w:val="32"/>
          <w:szCs w:val="32"/>
        </w:rPr>
        <w:t>__________________</w:t>
      </w:r>
      <w:r w:rsidR="00AB0BAD">
        <w:rPr>
          <w:b/>
          <w:i/>
          <w:sz w:val="32"/>
          <w:szCs w:val="32"/>
        </w:rPr>
        <w:t>____________________</w:t>
      </w:r>
    </w:p>
    <w:p w:rsidR="009B0447" w:rsidRDefault="009B0447" w:rsidP="00AD6174">
      <w:pPr>
        <w:spacing w:line="360" w:lineRule="auto"/>
        <w:jc w:val="center"/>
        <w:rPr>
          <w:b/>
          <w:i/>
          <w:sz w:val="32"/>
          <w:szCs w:val="32"/>
        </w:rPr>
      </w:pPr>
    </w:p>
    <w:p w:rsidR="009B0447" w:rsidRDefault="009B0447" w:rsidP="00AD6174">
      <w:pPr>
        <w:spacing w:line="360" w:lineRule="auto"/>
        <w:jc w:val="center"/>
        <w:rPr>
          <w:b/>
          <w:i/>
          <w:sz w:val="32"/>
          <w:szCs w:val="32"/>
        </w:rPr>
      </w:pPr>
    </w:p>
    <w:p w:rsidR="009B0447" w:rsidRDefault="009B0447" w:rsidP="00AD6174">
      <w:pPr>
        <w:spacing w:line="360" w:lineRule="auto"/>
        <w:jc w:val="center"/>
        <w:rPr>
          <w:b/>
          <w:i/>
          <w:sz w:val="32"/>
          <w:szCs w:val="32"/>
        </w:rPr>
      </w:pPr>
    </w:p>
    <w:p w:rsidR="005521EB" w:rsidRDefault="0061199B" w:rsidP="00AD6174">
      <w:pPr>
        <w:spacing w:line="360" w:lineRule="auto"/>
        <w:ind w:firstLine="708"/>
        <w:jc w:val="both"/>
      </w:pPr>
      <w:r>
        <w:t xml:space="preserve">Nel settembre del 2015 il signor G. </w:t>
      </w:r>
      <w:proofErr w:type="spellStart"/>
      <w:r>
        <w:t>Celisa</w:t>
      </w:r>
      <w:proofErr w:type="spellEnd"/>
      <w:r>
        <w:t>, amministratore delegato di un’impresa produttrice di minuterie metalliche destinate al settore del mobile, stava riflettendo sul futuro.</w:t>
      </w:r>
    </w:p>
    <w:p w:rsidR="00C14C88" w:rsidRDefault="0061199B" w:rsidP="0061199B">
      <w:pPr>
        <w:spacing w:line="360" w:lineRule="auto"/>
        <w:ind w:firstLine="708"/>
        <w:jc w:val="both"/>
      </w:pPr>
      <w:r>
        <w:t>In sede di elaborazione del budget delle vendite aveva iniziato ad analizzare le serie storiche dei prezzi di vendita dei costi unitari, dei ricavi e dei costi complessivi relativi ai vari articoli prodotti dalla sua impresa. Questi articoli trovavano impiego in imprese del settore del mobile in legno per interni sia per cucina che per bagni, che, infine per camere da letto e per ufficio.</w:t>
      </w:r>
    </w:p>
    <w:p w:rsidR="0061199B" w:rsidRDefault="0061199B" w:rsidP="0061199B">
      <w:pPr>
        <w:spacing w:line="360" w:lineRule="auto"/>
        <w:ind w:firstLine="708"/>
        <w:jc w:val="both"/>
      </w:pPr>
      <w:r>
        <w:t>Nella matrice prodotti/mercati presentata in Tabella 1, gli articoli dell’impresa erano aggregabili in und</w:t>
      </w:r>
      <w:r w:rsidR="003B0527">
        <w:t xml:space="preserve">ici linee di prodotto destinate, </w:t>
      </w:r>
      <w:r>
        <w:t>oltre che ai mercati ricordati</w:t>
      </w:r>
      <w:r w:rsidR="003B0527">
        <w:t>,</w:t>
      </w:r>
      <w:r>
        <w:t xml:space="preserve"> anche alle ferramenta e alla comunità.</w:t>
      </w:r>
    </w:p>
    <w:p w:rsidR="0061199B" w:rsidRDefault="0061199B" w:rsidP="0061199B">
      <w:pPr>
        <w:spacing w:line="360" w:lineRule="auto"/>
        <w:ind w:firstLine="708"/>
        <w:jc w:val="both"/>
      </w:pPr>
      <w:r>
        <w:t>In particolare l’attenzione dell’alta direzione si soffermò su tre articoli per definirne le politiche commerciali e i piani di sviluppo. Emerse che i tre articoli</w:t>
      </w:r>
      <w:r w:rsidR="003B0527">
        <w:t>:</w:t>
      </w:r>
      <w:r>
        <w:t xml:space="preserve"> il C9A99, il C8A7 e il C2A7 appartenevano, come indicato dalla prima lettera e dal primo numero del codice, a tre linee di prodotto diverse (la linea C9, la C8, la C2), con una storia sia a livello di singoli articoli che di linea. Questo forse imponeva scelte commerciali diverse.</w:t>
      </w: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152B2D" w:rsidP="0061199B">
      <w:pPr>
        <w:spacing w:line="360" w:lineRule="auto"/>
        <w:ind w:firstLine="708"/>
        <w:jc w:val="both"/>
      </w:pPr>
    </w:p>
    <w:p w:rsidR="00152B2D" w:rsidRDefault="00CC3121" w:rsidP="00152B2D">
      <w:pPr>
        <w:spacing w:line="360" w:lineRule="auto"/>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96.85pt">
            <v:imagedata r:id="rId8" o:title="Tabella 1"/>
          </v:shape>
        </w:pict>
      </w:r>
    </w:p>
    <w:p w:rsidR="00152B2D" w:rsidRDefault="00152B2D" w:rsidP="0061199B">
      <w:pPr>
        <w:spacing w:line="360" w:lineRule="auto"/>
        <w:ind w:firstLine="708"/>
        <w:jc w:val="both"/>
      </w:pPr>
    </w:p>
    <w:p w:rsidR="0061199B" w:rsidRDefault="0061199B" w:rsidP="0061199B">
      <w:pPr>
        <w:spacing w:line="360" w:lineRule="auto"/>
        <w:ind w:firstLine="708"/>
        <w:jc w:val="both"/>
      </w:pPr>
      <w:r>
        <w:t>Gli allegati, da 1 a 6, danno evidenza di diversi andamenti delle vendite (in unità fisiche) dei tre articoli e delle tre linee cui essi appartengono, con riferimento agli ultimi cinque anni.</w:t>
      </w:r>
    </w:p>
    <w:p w:rsidR="0061199B" w:rsidRDefault="0061199B" w:rsidP="0061199B">
      <w:pPr>
        <w:spacing w:line="360" w:lineRule="auto"/>
        <w:ind w:firstLine="708"/>
        <w:jc w:val="both"/>
      </w:pPr>
      <w:r>
        <w:t>Fra l’altro vi era un problema di prezzo per l’articolo C2A7. La questione che aveva spinto ad affrontare questo problema, era l’andamento dell’articolo C2A7 per il quale l’alta direzione nel 2016 voleva mantenere a € 8,40 il prezzo di vendita.</w:t>
      </w:r>
    </w:p>
    <w:p w:rsidR="0061199B" w:rsidRDefault="0061199B" w:rsidP="0061199B">
      <w:pPr>
        <w:spacing w:line="360" w:lineRule="auto"/>
        <w:ind w:firstLine="708"/>
        <w:jc w:val="both"/>
      </w:pPr>
      <w:r>
        <w:t xml:space="preserve">La forza vendita al completo sosteneva, invece che solo abbassando il prezzo di un 5% (riduzione di € 0,42) si sarebbe potuto ipotizzare di mantenere, per certo, i volumi di vendita del 2015 e con un loro impegno incrementale (senza </w:t>
      </w:r>
      <w:r w:rsidR="003B0527">
        <w:t xml:space="preserve">però </w:t>
      </w:r>
      <w:r>
        <w:t>dover sopportare maggiori costi) di mantenere la quota di mercato in segmenti che sarebbero mediamente cresciuti dell’8% rispetto ai volumi del 2015.</w:t>
      </w:r>
    </w:p>
    <w:p w:rsidR="003B0527" w:rsidRDefault="003B0527" w:rsidP="0061199B">
      <w:pPr>
        <w:spacing w:line="360" w:lineRule="auto"/>
        <w:ind w:firstLine="708"/>
        <w:jc w:val="both"/>
      </w:pPr>
      <w:r>
        <w:t>In caso contrario le vendite si sarebbero potute contrarre in misura pari al 10%.</w:t>
      </w:r>
    </w:p>
    <w:p w:rsidR="003B0527" w:rsidRDefault="003B0527" w:rsidP="0061199B">
      <w:pPr>
        <w:spacing w:line="360" w:lineRule="auto"/>
        <w:ind w:firstLine="708"/>
        <w:jc w:val="both"/>
      </w:pPr>
      <w:r>
        <w:t>L’alta direzione “affezionata” a questo prodotto era indecisa su quale politica seguire: se abbassare il prezzo e praticamente azzerare gli utili attualmente esistenti come differenza fra il prezzo di vendita ed il costo del prodotto; oppure se mantenere il prezzo, rischiando di perdere il 10% dei volumi di vendita.</w:t>
      </w:r>
    </w:p>
    <w:p w:rsidR="003B0527" w:rsidRDefault="003B0527" w:rsidP="0061199B">
      <w:pPr>
        <w:spacing w:line="360" w:lineRule="auto"/>
        <w:ind w:firstLine="708"/>
        <w:jc w:val="both"/>
      </w:pPr>
      <w:r>
        <w:t>Fra l’altro il costo complessivo unitario dell’articolo C2A7, messo a disposizione dal controller, mentre in passato si era ridotto drasticamente (vedi Allegato 7) nella previsione relativa al 2016 mostrava un’inaspettata costanza.</w:t>
      </w:r>
    </w:p>
    <w:p w:rsidR="003B0527" w:rsidRDefault="003B0527" w:rsidP="0061199B">
      <w:pPr>
        <w:spacing w:line="360" w:lineRule="auto"/>
        <w:ind w:firstLine="708"/>
        <w:jc w:val="both"/>
      </w:pPr>
      <w:r>
        <w:lastRenderedPageBreak/>
        <w:t>Il costo del prodotto (come si può notare sempre in allegato 7) è fortemente condizionato nella sua struttura da tre elementi: le materie prime, i costi indiretti e gli ammortamenti dei macchinari. In particolare questi ultimi sono andati crescendo come incidenza percentuale insieme ai costi indiretti variabili di fabbricazione a seguito:</w:t>
      </w:r>
    </w:p>
    <w:p w:rsidR="003B0527" w:rsidRDefault="003B0527" w:rsidP="003B0527">
      <w:pPr>
        <w:numPr>
          <w:ilvl w:val="0"/>
          <w:numId w:val="3"/>
        </w:numPr>
        <w:spacing w:line="360" w:lineRule="auto"/>
        <w:jc w:val="both"/>
      </w:pPr>
      <w:r>
        <w:t>Dell’introduzione di tecnologie CAD-CAM per la progettazione e la definizione di nuovi prodotti</w:t>
      </w:r>
    </w:p>
    <w:p w:rsidR="003B0527" w:rsidRDefault="003B0527" w:rsidP="003B0527">
      <w:pPr>
        <w:numPr>
          <w:ilvl w:val="0"/>
          <w:numId w:val="3"/>
        </w:numPr>
        <w:spacing w:line="360" w:lineRule="auto"/>
        <w:jc w:val="both"/>
      </w:pPr>
      <w:r>
        <w:t>Del rinnovamento degli spazi di lavoro e l’automazione dei magazzini,</w:t>
      </w:r>
    </w:p>
    <w:p w:rsidR="003B0527" w:rsidRDefault="003B0527" w:rsidP="003B0527">
      <w:pPr>
        <w:numPr>
          <w:ilvl w:val="0"/>
          <w:numId w:val="3"/>
        </w:numPr>
        <w:spacing w:line="360" w:lineRule="auto"/>
        <w:jc w:val="both"/>
      </w:pPr>
      <w:r>
        <w:t xml:space="preserve">Dell’introduzione di semplici </w:t>
      </w:r>
      <w:proofErr w:type="spellStart"/>
      <w:r>
        <w:t>Flexible</w:t>
      </w:r>
      <w:proofErr w:type="spellEnd"/>
      <w:r>
        <w:t xml:space="preserve"> Manufacturing Systems in grado di cambiare la tipologia di articolo ottenuto, cambiando unicamente le componenti con le quali si alimenta l’impianto e alcune fasi delle lavorazioni automatizzate con cambio di software</w:t>
      </w:r>
      <w:r w:rsidR="003727D8">
        <w:t>.</w:t>
      </w:r>
    </w:p>
    <w:p w:rsidR="003727D8" w:rsidRDefault="003727D8" w:rsidP="003727D8">
      <w:pPr>
        <w:spacing w:line="360" w:lineRule="auto"/>
        <w:jc w:val="both"/>
      </w:pPr>
      <w:r>
        <w:tab/>
        <w:t>Inoltre nei costi indiretti è compresa una quota di costi generali (</w:t>
      </w:r>
      <w:proofErr w:type="spellStart"/>
      <w:r>
        <w:t>overhead</w:t>
      </w:r>
      <w:proofErr w:type="spellEnd"/>
      <w:r>
        <w:t xml:space="preserve"> </w:t>
      </w:r>
      <w:proofErr w:type="spellStart"/>
      <w:r>
        <w:t>cost</w:t>
      </w:r>
      <w:proofErr w:type="spellEnd"/>
      <w:r>
        <w:t>) divenuti gravosi nel costo dei singoli articoli con il rinnovo dell’intero stabilimento e della sede che ospita l’azienda.</w:t>
      </w:r>
    </w:p>
    <w:p w:rsidR="003727D8" w:rsidRPr="003727D8" w:rsidRDefault="003727D8" w:rsidP="003727D8">
      <w:pPr>
        <w:spacing w:line="360" w:lineRule="auto"/>
        <w:jc w:val="both"/>
        <w:rPr>
          <w:i/>
        </w:rPr>
      </w:pPr>
      <w:r>
        <w:tab/>
        <w:t xml:space="preserve">Il signor G. </w:t>
      </w:r>
      <w:proofErr w:type="spellStart"/>
      <w:r>
        <w:t>Celisa</w:t>
      </w:r>
      <w:proofErr w:type="spellEnd"/>
      <w:r>
        <w:t xml:space="preserve"> amava ricordare: </w:t>
      </w:r>
      <w:r w:rsidRPr="003727D8">
        <w:rPr>
          <w:i/>
        </w:rPr>
        <w:t xml:space="preserve">“con una politica dei prezzi orientata al costo di prodotto così come lo abbiamo calcolato sino ad oggi, siamo arrivati ad essere la prima impresa dopo una società tedesca produttrice degli stessi articoli, anche se con un livello qualitativo talvolta leggermente superiore. </w:t>
      </w:r>
    </w:p>
    <w:p w:rsidR="003727D8" w:rsidRPr="003727D8" w:rsidRDefault="003727D8" w:rsidP="003727D8">
      <w:pPr>
        <w:spacing w:line="360" w:lineRule="auto"/>
        <w:jc w:val="both"/>
        <w:rPr>
          <w:i/>
        </w:rPr>
      </w:pPr>
      <w:r w:rsidRPr="003727D8">
        <w:rPr>
          <w:i/>
        </w:rPr>
        <w:t>Ma solo talvolta e… … di poco!!! Sempre con questi costi di prodotto sono arrivato a decidere di eliminare alcuni articoli fra i quali molti nella linea C9 e C8: diversamente, forse, li avrei ancora in listino.</w:t>
      </w:r>
    </w:p>
    <w:p w:rsidR="003727D8" w:rsidRDefault="003727D8" w:rsidP="003727D8">
      <w:pPr>
        <w:spacing w:line="360" w:lineRule="auto"/>
        <w:jc w:val="both"/>
        <w:rPr>
          <w:i/>
        </w:rPr>
      </w:pPr>
      <w:r w:rsidRPr="003727D8">
        <w:rPr>
          <w:i/>
        </w:rPr>
        <w:t>Oggi l’azienda ha 700 articoli. Se non ne avessi eliminati nel corso di questi vent’anni avrei più di 3.000 articoli. La mentalità e la logica economica diventerebbero quelle dell’impresa orientata al prodotto”.</w:t>
      </w: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152B2D" w:rsidP="003727D8">
      <w:pPr>
        <w:spacing w:line="360" w:lineRule="auto"/>
        <w:jc w:val="both"/>
        <w:rPr>
          <w:i/>
        </w:rPr>
      </w:pPr>
    </w:p>
    <w:p w:rsidR="00152B2D" w:rsidRDefault="00CC3121" w:rsidP="003727D8">
      <w:pPr>
        <w:spacing w:line="360" w:lineRule="auto"/>
        <w:jc w:val="both"/>
        <w:rPr>
          <w:i/>
        </w:rPr>
      </w:pPr>
      <w:r>
        <w:rPr>
          <w:i/>
        </w:rPr>
        <w:lastRenderedPageBreak/>
        <w:pict>
          <v:shape id="_x0000_i1026" type="#_x0000_t75" style="width:481.6pt;height:348.45pt">
            <v:imagedata r:id="rId9" o:title="all1"/>
          </v:shape>
        </w:pict>
      </w:r>
    </w:p>
    <w:p w:rsidR="00152B2D" w:rsidRDefault="00CC3121" w:rsidP="003727D8">
      <w:pPr>
        <w:spacing w:line="360" w:lineRule="auto"/>
        <w:jc w:val="both"/>
        <w:rPr>
          <w:i/>
        </w:rPr>
      </w:pPr>
      <w:r>
        <w:rPr>
          <w:i/>
        </w:rPr>
        <w:pict>
          <v:shape id="_x0000_i1027" type="#_x0000_t75" style="width:481.6pt;height:317.9pt">
            <v:imagedata r:id="rId10" o:title="all2"/>
          </v:shape>
        </w:pict>
      </w:r>
    </w:p>
    <w:p w:rsidR="00152B2D" w:rsidRDefault="00CC3121" w:rsidP="003727D8">
      <w:pPr>
        <w:spacing w:line="360" w:lineRule="auto"/>
        <w:jc w:val="both"/>
        <w:rPr>
          <w:i/>
        </w:rPr>
      </w:pPr>
      <w:r>
        <w:rPr>
          <w:i/>
        </w:rPr>
        <w:lastRenderedPageBreak/>
        <w:pict>
          <v:shape id="_x0000_i1028" type="#_x0000_t75" style="width:481.6pt;height:316.55pt">
            <v:imagedata r:id="rId11" o:title="all3"/>
          </v:shape>
        </w:pict>
      </w:r>
    </w:p>
    <w:p w:rsidR="00152B2D" w:rsidRDefault="00CC3121" w:rsidP="003727D8">
      <w:pPr>
        <w:spacing w:line="360" w:lineRule="auto"/>
        <w:jc w:val="both"/>
        <w:rPr>
          <w:i/>
        </w:rPr>
      </w:pPr>
      <w:r>
        <w:rPr>
          <w:i/>
        </w:rPr>
        <w:pict>
          <v:shape id="_x0000_i1029" type="#_x0000_t75" style="width:481.6pt;height:280.55pt">
            <v:imagedata r:id="rId12" o:title="all4"/>
          </v:shape>
        </w:pict>
      </w:r>
    </w:p>
    <w:p w:rsidR="00152B2D" w:rsidRDefault="00152B2D" w:rsidP="003727D8">
      <w:pPr>
        <w:spacing w:line="360" w:lineRule="auto"/>
        <w:jc w:val="both"/>
        <w:rPr>
          <w:i/>
        </w:rPr>
      </w:pPr>
    </w:p>
    <w:p w:rsidR="00152B2D" w:rsidRDefault="00AB0513" w:rsidP="003727D8">
      <w:pPr>
        <w:spacing w:line="360" w:lineRule="auto"/>
        <w:jc w:val="both"/>
        <w:rPr>
          <w:i/>
        </w:rPr>
      </w:pPr>
      <w:r>
        <w:rPr>
          <w:i/>
        </w:rPr>
        <w:lastRenderedPageBreak/>
        <w:pict>
          <v:shape id="_x0000_i1030" type="#_x0000_t75" style="width:481.6pt;height:294.1pt">
            <v:imagedata r:id="rId13" o:title="all5"/>
          </v:shape>
        </w:pict>
      </w:r>
    </w:p>
    <w:p w:rsidR="00152B2D" w:rsidRDefault="00AB0513" w:rsidP="003727D8">
      <w:pPr>
        <w:spacing w:line="360" w:lineRule="auto"/>
        <w:jc w:val="both"/>
        <w:rPr>
          <w:i/>
        </w:rPr>
      </w:pPr>
      <w:r>
        <w:rPr>
          <w:i/>
        </w:rPr>
        <w:pict>
          <v:shape id="_x0000_i1031" type="#_x0000_t75" style="width:481.6pt;height:290.7pt">
            <v:imagedata r:id="rId14" o:title="all6"/>
          </v:shape>
        </w:pict>
      </w:r>
    </w:p>
    <w:p w:rsidR="00D870E5" w:rsidRDefault="00D870E5" w:rsidP="003727D8">
      <w:pPr>
        <w:spacing w:line="360" w:lineRule="auto"/>
        <w:jc w:val="both"/>
        <w:rPr>
          <w:i/>
        </w:rPr>
      </w:pPr>
    </w:p>
    <w:p w:rsidR="00D870E5" w:rsidRDefault="00D870E5" w:rsidP="003727D8">
      <w:pPr>
        <w:spacing w:line="360" w:lineRule="auto"/>
        <w:jc w:val="both"/>
        <w:rPr>
          <w:i/>
        </w:rPr>
      </w:pPr>
    </w:p>
    <w:p w:rsidR="00D870E5" w:rsidRDefault="00D870E5" w:rsidP="003727D8">
      <w:pPr>
        <w:spacing w:line="360" w:lineRule="auto"/>
        <w:jc w:val="both"/>
        <w:rPr>
          <w:i/>
        </w:rPr>
      </w:pPr>
    </w:p>
    <w:p w:rsidR="00D870E5" w:rsidRDefault="00D870E5" w:rsidP="003727D8">
      <w:pPr>
        <w:spacing w:line="360" w:lineRule="auto"/>
        <w:jc w:val="both"/>
        <w:rPr>
          <w:i/>
        </w:rPr>
      </w:pPr>
    </w:p>
    <w:p w:rsidR="00D870E5" w:rsidRDefault="00D870E5" w:rsidP="003727D8">
      <w:pPr>
        <w:spacing w:line="360" w:lineRule="auto"/>
        <w:jc w:val="both"/>
        <w:rPr>
          <w:i/>
        </w:rPr>
      </w:pPr>
    </w:p>
    <w:p w:rsidR="00152B2D" w:rsidRDefault="00D870E5" w:rsidP="003727D8">
      <w:pPr>
        <w:spacing w:line="360" w:lineRule="auto"/>
        <w:jc w:val="both"/>
        <w:rPr>
          <w:i/>
        </w:rPr>
      </w:pPr>
      <w:r>
        <w:rPr>
          <w:i/>
        </w:rPr>
        <w:lastRenderedPageBreak/>
        <w:t>Allegato 7 – prezzi di vendita, costi unitari e volumi di vendita dell’articolo C2A7</w:t>
      </w:r>
    </w:p>
    <w:p w:rsidR="00D870E5" w:rsidRDefault="00D870E5" w:rsidP="003727D8">
      <w:pPr>
        <w:spacing w:line="360" w:lineRule="auto"/>
        <w:jc w:val="both"/>
        <w:rPr>
          <w: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51"/>
        <w:gridCol w:w="1565"/>
        <w:gridCol w:w="1565"/>
        <w:gridCol w:w="1566"/>
        <w:gridCol w:w="1565"/>
        <w:gridCol w:w="1566"/>
      </w:tblGrid>
      <w:tr w:rsidR="007075BD" w:rsidRPr="007075BD" w:rsidTr="007075BD">
        <w:tc>
          <w:tcPr>
            <w:tcW w:w="1951" w:type="dxa"/>
            <w:tcBorders>
              <w:bottom w:val="single" w:sz="12" w:space="0" w:color="666666"/>
            </w:tcBorders>
            <w:shd w:val="clear" w:color="auto" w:fill="auto"/>
          </w:tcPr>
          <w:p w:rsidR="00D870E5" w:rsidRPr="007075BD" w:rsidRDefault="00D870E5" w:rsidP="007075BD">
            <w:pPr>
              <w:spacing w:line="360" w:lineRule="auto"/>
              <w:jc w:val="both"/>
              <w:rPr>
                <w:b/>
                <w:bCs/>
                <w:i/>
              </w:rPr>
            </w:pPr>
          </w:p>
        </w:tc>
        <w:tc>
          <w:tcPr>
            <w:tcW w:w="1565" w:type="dxa"/>
            <w:tcBorders>
              <w:bottom w:val="single" w:sz="12" w:space="0" w:color="666666"/>
            </w:tcBorders>
            <w:shd w:val="clear" w:color="auto" w:fill="auto"/>
            <w:vAlign w:val="center"/>
          </w:tcPr>
          <w:p w:rsidR="00D870E5" w:rsidRPr="007075BD" w:rsidRDefault="00D870E5" w:rsidP="007075BD">
            <w:pPr>
              <w:spacing w:line="360" w:lineRule="auto"/>
              <w:jc w:val="center"/>
              <w:rPr>
                <w:b/>
                <w:bCs/>
                <w:i/>
              </w:rPr>
            </w:pPr>
            <w:r w:rsidRPr="007075BD">
              <w:rPr>
                <w:b/>
                <w:bCs/>
                <w:i/>
              </w:rPr>
              <w:t>2012</w:t>
            </w:r>
          </w:p>
        </w:tc>
        <w:tc>
          <w:tcPr>
            <w:tcW w:w="1565" w:type="dxa"/>
            <w:tcBorders>
              <w:bottom w:val="single" w:sz="12" w:space="0" w:color="666666"/>
            </w:tcBorders>
            <w:shd w:val="clear" w:color="auto" w:fill="auto"/>
            <w:vAlign w:val="center"/>
          </w:tcPr>
          <w:p w:rsidR="00D870E5" w:rsidRPr="007075BD" w:rsidRDefault="00D870E5" w:rsidP="007075BD">
            <w:pPr>
              <w:spacing w:line="360" w:lineRule="auto"/>
              <w:jc w:val="center"/>
              <w:rPr>
                <w:b/>
                <w:bCs/>
                <w:i/>
              </w:rPr>
            </w:pPr>
            <w:r w:rsidRPr="007075BD">
              <w:rPr>
                <w:b/>
                <w:bCs/>
                <w:i/>
              </w:rPr>
              <w:t>2013</w:t>
            </w:r>
          </w:p>
        </w:tc>
        <w:tc>
          <w:tcPr>
            <w:tcW w:w="1566" w:type="dxa"/>
            <w:tcBorders>
              <w:bottom w:val="single" w:sz="12" w:space="0" w:color="666666"/>
            </w:tcBorders>
            <w:shd w:val="clear" w:color="auto" w:fill="auto"/>
            <w:vAlign w:val="center"/>
          </w:tcPr>
          <w:p w:rsidR="00D870E5" w:rsidRPr="007075BD" w:rsidRDefault="00D870E5" w:rsidP="007075BD">
            <w:pPr>
              <w:spacing w:line="360" w:lineRule="auto"/>
              <w:jc w:val="center"/>
              <w:rPr>
                <w:b/>
                <w:bCs/>
                <w:i/>
              </w:rPr>
            </w:pPr>
            <w:r w:rsidRPr="007075BD">
              <w:rPr>
                <w:b/>
                <w:bCs/>
                <w:i/>
              </w:rPr>
              <w:t>2014</w:t>
            </w:r>
          </w:p>
        </w:tc>
        <w:tc>
          <w:tcPr>
            <w:tcW w:w="1565" w:type="dxa"/>
            <w:tcBorders>
              <w:bottom w:val="single" w:sz="12" w:space="0" w:color="666666"/>
            </w:tcBorders>
            <w:shd w:val="clear" w:color="auto" w:fill="auto"/>
            <w:vAlign w:val="center"/>
          </w:tcPr>
          <w:p w:rsidR="00D870E5" w:rsidRPr="007075BD" w:rsidRDefault="00D870E5" w:rsidP="007075BD">
            <w:pPr>
              <w:spacing w:line="360" w:lineRule="auto"/>
              <w:jc w:val="center"/>
              <w:rPr>
                <w:b/>
                <w:bCs/>
                <w:i/>
              </w:rPr>
            </w:pPr>
            <w:r w:rsidRPr="007075BD">
              <w:rPr>
                <w:b/>
                <w:bCs/>
                <w:i/>
              </w:rPr>
              <w:t>2015</w:t>
            </w:r>
          </w:p>
        </w:tc>
        <w:tc>
          <w:tcPr>
            <w:tcW w:w="1566" w:type="dxa"/>
            <w:tcBorders>
              <w:bottom w:val="single" w:sz="12" w:space="0" w:color="666666"/>
            </w:tcBorders>
            <w:shd w:val="clear" w:color="auto" w:fill="auto"/>
            <w:vAlign w:val="center"/>
          </w:tcPr>
          <w:p w:rsidR="00D870E5" w:rsidRPr="007075BD" w:rsidRDefault="00D870E5" w:rsidP="007075BD">
            <w:pPr>
              <w:spacing w:line="360" w:lineRule="auto"/>
              <w:jc w:val="center"/>
              <w:rPr>
                <w:b/>
                <w:bCs/>
                <w:i/>
              </w:rPr>
            </w:pPr>
            <w:proofErr w:type="spellStart"/>
            <w:r w:rsidRPr="007075BD">
              <w:rPr>
                <w:b/>
                <w:bCs/>
                <w:i/>
              </w:rPr>
              <w:t>Prev</w:t>
            </w:r>
            <w:proofErr w:type="spellEnd"/>
            <w:r w:rsidRPr="007075BD">
              <w:rPr>
                <w:b/>
                <w:bCs/>
                <w:i/>
              </w:rPr>
              <w:t>. 2016</w:t>
            </w: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rPr>
            </w:pPr>
            <w:r w:rsidRPr="007075BD">
              <w:rPr>
                <w:b/>
                <w:bCs/>
                <w:sz w:val="22"/>
              </w:rPr>
              <w:t>Volumi di vendita</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120.000 unità</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350.000 unità</w:t>
            </w:r>
          </w:p>
        </w:tc>
        <w:tc>
          <w:tcPr>
            <w:tcW w:w="1566" w:type="dxa"/>
            <w:shd w:val="clear" w:color="auto" w:fill="auto"/>
            <w:vAlign w:val="center"/>
          </w:tcPr>
          <w:p w:rsidR="00D870E5" w:rsidRPr="007075BD" w:rsidRDefault="00D870E5" w:rsidP="007075BD">
            <w:pPr>
              <w:spacing w:line="360" w:lineRule="auto"/>
              <w:jc w:val="center"/>
              <w:rPr>
                <w:i/>
              </w:rPr>
            </w:pPr>
            <w:r w:rsidRPr="007075BD">
              <w:rPr>
                <w:i/>
              </w:rPr>
              <w:t>960.000 unità</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1.140.000 pezzi</w:t>
            </w:r>
          </w:p>
        </w:tc>
        <w:tc>
          <w:tcPr>
            <w:tcW w:w="1566" w:type="dxa"/>
            <w:shd w:val="clear" w:color="auto" w:fill="auto"/>
            <w:vAlign w:val="center"/>
          </w:tcPr>
          <w:p w:rsidR="00D870E5" w:rsidRPr="007075BD" w:rsidRDefault="00D870E5" w:rsidP="007075BD">
            <w:pPr>
              <w:spacing w:line="360" w:lineRule="auto"/>
              <w:jc w:val="center"/>
              <w:rPr>
                <w:i/>
              </w:rPr>
            </w:pP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rPr>
            </w:pPr>
            <w:r w:rsidRPr="007075BD">
              <w:rPr>
                <w:b/>
                <w:bCs/>
                <w:sz w:val="22"/>
              </w:rPr>
              <w:t>Prezzi di vendita</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€ 10,55</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€ 9,80</w:t>
            </w:r>
          </w:p>
        </w:tc>
        <w:tc>
          <w:tcPr>
            <w:tcW w:w="1566" w:type="dxa"/>
            <w:shd w:val="clear" w:color="auto" w:fill="auto"/>
            <w:vAlign w:val="center"/>
          </w:tcPr>
          <w:p w:rsidR="00D870E5" w:rsidRPr="007075BD" w:rsidRDefault="00D870E5" w:rsidP="007075BD">
            <w:pPr>
              <w:spacing w:line="360" w:lineRule="auto"/>
              <w:jc w:val="center"/>
              <w:rPr>
                <w:i/>
              </w:rPr>
            </w:pPr>
            <w:r w:rsidRPr="007075BD">
              <w:rPr>
                <w:i/>
              </w:rPr>
              <w:t>€ 8,70</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€ 8,40</w:t>
            </w:r>
          </w:p>
        </w:tc>
        <w:tc>
          <w:tcPr>
            <w:tcW w:w="1566" w:type="dxa"/>
            <w:shd w:val="clear" w:color="auto" w:fill="auto"/>
            <w:vAlign w:val="center"/>
          </w:tcPr>
          <w:p w:rsidR="00D870E5" w:rsidRPr="007075BD" w:rsidRDefault="00D870E5" w:rsidP="007075BD">
            <w:pPr>
              <w:spacing w:line="360" w:lineRule="auto"/>
              <w:jc w:val="center"/>
              <w:rPr>
                <w:i/>
              </w:rPr>
            </w:pP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rPr>
            </w:pPr>
            <w:r w:rsidRPr="007075BD">
              <w:rPr>
                <w:b/>
                <w:bCs/>
                <w:sz w:val="22"/>
              </w:rPr>
              <w:t>Variazione prezzi al consumo</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+5,2%</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+5,4%</w:t>
            </w:r>
          </w:p>
        </w:tc>
        <w:tc>
          <w:tcPr>
            <w:tcW w:w="1566" w:type="dxa"/>
            <w:shd w:val="clear" w:color="auto" w:fill="auto"/>
            <w:vAlign w:val="center"/>
          </w:tcPr>
          <w:p w:rsidR="00D870E5" w:rsidRPr="007075BD" w:rsidRDefault="00D870E5" w:rsidP="007075BD">
            <w:pPr>
              <w:spacing w:line="360" w:lineRule="auto"/>
              <w:jc w:val="center"/>
              <w:rPr>
                <w:i/>
              </w:rPr>
            </w:pPr>
            <w:r w:rsidRPr="007075BD">
              <w:rPr>
                <w:i/>
              </w:rPr>
              <w:t>+6,3%</w:t>
            </w:r>
          </w:p>
        </w:tc>
        <w:tc>
          <w:tcPr>
            <w:tcW w:w="1565" w:type="dxa"/>
            <w:shd w:val="clear" w:color="auto" w:fill="auto"/>
            <w:vAlign w:val="center"/>
          </w:tcPr>
          <w:p w:rsidR="00D870E5" w:rsidRPr="007075BD" w:rsidRDefault="00D870E5" w:rsidP="007075BD">
            <w:pPr>
              <w:spacing w:line="360" w:lineRule="auto"/>
              <w:jc w:val="center"/>
              <w:rPr>
                <w:i/>
              </w:rPr>
            </w:pPr>
            <w:r w:rsidRPr="007075BD">
              <w:rPr>
                <w:i/>
              </w:rPr>
              <w:t>+6,5%</w:t>
            </w:r>
          </w:p>
        </w:tc>
        <w:tc>
          <w:tcPr>
            <w:tcW w:w="1566" w:type="dxa"/>
            <w:shd w:val="clear" w:color="auto" w:fill="auto"/>
            <w:vAlign w:val="center"/>
          </w:tcPr>
          <w:p w:rsidR="00D870E5" w:rsidRPr="007075BD" w:rsidRDefault="00D870E5" w:rsidP="007075BD">
            <w:pPr>
              <w:spacing w:line="360" w:lineRule="auto"/>
              <w:jc w:val="center"/>
              <w:rPr>
                <w:i/>
              </w:rPr>
            </w:pPr>
            <w:r w:rsidRPr="007075BD">
              <w:rPr>
                <w:i/>
              </w:rPr>
              <w:t>+7%</w:t>
            </w:r>
          </w:p>
        </w:tc>
      </w:tr>
      <w:tr w:rsidR="00D870E5"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sz w:val="22"/>
              </w:rPr>
            </w:pPr>
            <w:r w:rsidRPr="007075BD">
              <w:rPr>
                <w:b/>
                <w:bCs/>
                <w:i/>
                <w:sz w:val="22"/>
              </w:rPr>
              <w:t>Costo unitario:</w:t>
            </w:r>
          </w:p>
        </w:tc>
        <w:tc>
          <w:tcPr>
            <w:tcW w:w="7827" w:type="dxa"/>
            <w:gridSpan w:val="5"/>
            <w:shd w:val="clear" w:color="auto" w:fill="auto"/>
            <w:vAlign w:val="center"/>
          </w:tcPr>
          <w:p w:rsidR="00D870E5" w:rsidRPr="007075BD" w:rsidRDefault="00D870E5" w:rsidP="007075BD">
            <w:pPr>
              <w:spacing w:line="360" w:lineRule="auto"/>
              <w:jc w:val="center"/>
              <w:rPr>
                <w:i/>
              </w:rPr>
            </w:pP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jc w:val="both"/>
              <w:rPr>
                <w:b/>
                <w:bCs/>
                <w:sz w:val="22"/>
              </w:rPr>
            </w:pPr>
            <w:r w:rsidRPr="007075BD">
              <w:rPr>
                <w:b/>
                <w:bCs/>
                <w:sz w:val="22"/>
              </w:rPr>
              <w:t>Materie prime</w:t>
            </w:r>
          </w:p>
        </w:tc>
        <w:tc>
          <w:tcPr>
            <w:tcW w:w="1565" w:type="dxa"/>
            <w:shd w:val="clear" w:color="auto" w:fill="auto"/>
            <w:vAlign w:val="center"/>
          </w:tcPr>
          <w:p w:rsidR="00D870E5" w:rsidRPr="00D870E5" w:rsidRDefault="00D870E5" w:rsidP="007075BD">
            <w:pPr>
              <w:spacing w:line="360" w:lineRule="auto"/>
              <w:jc w:val="center"/>
            </w:pPr>
            <w:r w:rsidRPr="00D870E5">
              <w:t>€ 3,15</w:t>
            </w:r>
          </w:p>
        </w:tc>
        <w:tc>
          <w:tcPr>
            <w:tcW w:w="1565" w:type="dxa"/>
            <w:shd w:val="clear" w:color="auto" w:fill="auto"/>
            <w:vAlign w:val="center"/>
          </w:tcPr>
          <w:p w:rsidR="00D870E5" w:rsidRPr="00D870E5" w:rsidRDefault="00D870E5" w:rsidP="007075BD">
            <w:pPr>
              <w:spacing w:line="360" w:lineRule="auto"/>
              <w:jc w:val="center"/>
            </w:pPr>
            <w:r w:rsidRPr="00D870E5">
              <w:t>€ 3,12</w:t>
            </w:r>
          </w:p>
        </w:tc>
        <w:tc>
          <w:tcPr>
            <w:tcW w:w="1566" w:type="dxa"/>
            <w:shd w:val="clear" w:color="auto" w:fill="auto"/>
            <w:vAlign w:val="center"/>
          </w:tcPr>
          <w:p w:rsidR="00D870E5" w:rsidRPr="00D870E5" w:rsidRDefault="00D870E5" w:rsidP="007075BD">
            <w:pPr>
              <w:spacing w:line="360" w:lineRule="auto"/>
              <w:jc w:val="center"/>
            </w:pPr>
            <w:r w:rsidRPr="00D870E5">
              <w:t>€ 3,10</w:t>
            </w:r>
          </w:p>
        </w:tc>
        <w:tc>
          <w:tcPr>
            <w:tcW w:w="1565" w:type="dxa"/>
            <w:shd w:val="clear" w:color="auto" w:fill="auto"/>
            <w:vAlign w:val="center"/>
          </w:tcPr>
          <w:p w:rsidR="00D870E5" w:rsidRPr="00D870E5" w:rsidRDefault="00D870E5" w:rsidP="007075BD">
            <w:pPr>
              <w:spacing w:line="360" w:lineRule="auto"/>
              <w:jc w:val="center"/>
            </w:pPr>
            <w:r w:rsidRPr="00D870E5">
              <w:t>€ 3,10</w:t>
            </w:r>
          </w:p>
        </w:tc>
        <w:tc>
          <w:tcPr>
            <w:tcW w:w="1566" w:type="dxa"/>
            <w:shd w:val="clear" w:color="auto" w:fill="auto"/>
            <w:vAlign w:val="center"/>
          </w:tcPr>
          <w:p w:rsidR="00D870E5" w:rsidRPr="00D870E5" w:rsidRDefault="00D870E5" w:rsidP="007075BD">
            <w:pPr>
              <w:spacing w:line="360" w:lineRule="auto"/>
              <w:jc w:val="center"/>
            </w:pPr>
            <w:r w:rsidRPr="00D870E5">
              <w:t>€ 3,20</w:t>
            </w: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sz w:val="22"/>
              </w:rPr>
            </w:pPr>
            <w:r w:rsidRPr="007075BD">
              <w:rPr>
                <w:b/>
                <w:bCs/>
                <w:sz w:val="22"/>
              </w:rPr>
              <w:t>Altri C.v.(</w:t>
            </w:r>
            <w:proofErr w:type="gramStart"/>
            <w:r w:rsidRPr="007075BD">
              <w:rPr>
                <w:b/>
                <w:bCs/>
                <w:sz w:val="22"/>
              </w:rPr>
              <w:t>EN.EL</w:t>
            </w:r>
            <w:proofErr w:type="gramEnd"/>
            <w:r w:rsidRPr="007075BD">
              <w:rPr>
                <w:b/>
                <w:bCs/>
                <w:sz w:val="22"/>
              </w:rPr>
              <w:t>)</w:t>
            </w:r>
          </w:p>
        </w:tc>
        <w:tc>
          <w:tcPr>
            <w:tcW w:w="1565" w:type="dxa"/>
            <w:shd w:val="clear" w:color="auto" w:fill="auto"/>
            <w:vAlign w:val="center"/>
          </w:tcPr>
          <w:p w:rsidR="00D870E5" w:rsidRPr="00D870E5" w:rsidRDefault="00D870E5" w:rsidP="007075BD">
            <w:pPr>
              <w:spacing w:line="360" w:lineRule="auto"/>
              <w:jc w:val="center"/>
            </w:pPr>
            <w:r w:rsidRPr="00D870E5">
              <w:t>€ 2,00</w:t>
            </w:r>
          </w:p>
        </w:tc>
        <w:tc>
          <w:tcPr>
            <w:tcW w:w="1565" w:type="dxa"/>
            <w:shd w:val="clear" w:color="auto" w:fill="auto"/>
            <w:vAlign w:val="center"/>
          </w:tcPr>
          <w:p w:rsidR="00D870E5" w:rsidRPr="00D870E5" w:rsidRDefault="00D870E5" w:rsidP="007075BD">
            <w:pPr>
              <w:spacing w:line="360" w:lineRule="auto"/>
              <w:jc w:val="center"/>
            </w:pPr>
            <w:r w:rsidRPr="00D870E5">
              <w:t>€ 2,10</w:t>
            </w:r>
          </w:p>
        </w:tc>
        <w:tc>
          <w:tcPr>
            <w:tcW w:w="1566" w:type="dxa"/>
            <w:shd w:val="clear" w:color="auto" w:fill="auto"/>
            <w:vAlign w:val="center"/>
          </w:tcPr>
          <w:p w:rsidR="00D870E5" w:rsidRPr="00D870E5" w:rsidRDefault="00D870E5" w:rsidP="007075BD">
            <w:pPr>
              <w:spacing w:line="360" w:lineRule="auto"/>
              <w:jc w:val="center"/>
            </w:pPr>
            <w:r w:rsidRPr="00D870E5">
              <w:t>€ 2,22</w:t>
            </w:r>
          </w:p>
        </w:tc>
        <w:tc>
          <w:tcPr>
            <w:tcW w:w="1565" w:type="dxa"/>
            <w:shd w:val="clear" w:color="auto" w:fill="auto"/>
            <w:vAlign w:val="center"/>
          </w:tcPr>
          <w:p w:rsidR="00D870E5" w:rsidRPr="00D870E5" w:rsidRDefault="00D870E5" w:rsidP="007075BD">
            <w:pPr>
              <w:spacing w:line="360" w:lineRule="auto"/>
              <w:jc w:val="center"/>
            </w:pPr>
            <w:r w:rsidRPr="00D870E5">
              <w:t>€ 2,25</w:t>
            </w:r>
          </w:p>
        </w:tc>
        <w:tc>
          <w:tcPr>
            <w:tcW w:w="1566" w:type="dxa"/>
            <w:shd w:val="clear" w:color="auto" w:fill="auto"/>
            <w:vAlign w:val="center"/>
          </w:tcPr>
          <w:p w:rsidR="00D870E5" w:rsidRPr="00D870E5" w:rsidRDefault="00D870E5" w:rsidP="007075BD">
            <w:pPr>
              <w:spacing w:line="360" w:lineRule="auto"/>
              <w:jc w:val="center"/>
            </w:pPr>
            <w:r w:rsidRPr="00D870E5">
              <w:t>€ 2,40</w:t>
            </w: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rPr>
            </w:pPr>
            <w:r w:rsidRPr="007075BD">
              <w:rPr>
                <w:b/>
                <w:bCs/>
                <w:sz w:val="22"/>
              </w:rPr>
              <w:t>Ammortamento impianti</w:t>
            </w:r>
          </w:p>
        </w:tc>
        <w:tc>
          <w:tcPr>
            <w:tcW w:w="1565" w:type="dxa"/>
            <w:shd w:val="clear" w:color="auto" w:fill="auto"/>
            <w:vAlign w:val="center"/>
          </w:tcPr>
          <w:p w:rsidR="00D870E5" w:rsidRPr="00D870E5" w:rsidRDefault="00D870E5" w:rsidP="007075BD">
            <w:pPr>
              <w:spacing w:line="360" w:lineRule="auto"/>
              <w:jc w:val="center"/>
            </w:pPr>
            <w:r w:rsidRPr="00D870E5">
              <w:t>€ 3,00</w:t>
            </w:r>
          </w:p>
        </w:tc>
        <w:tc>
          <w:tcPr>
            <w:tcW w:w="1565" w:type="dxa"/>
            <w:shd w:val="clear" w:color="auto" w:fill="auto"/>
            <w:vAlign w:val="center"/>
          </w:tcPr>
          <w:p w:rsidR="00D870E5" w:rsidRPr="00D870E5" w:rsidRDefault="00D870E5" w:rsidP="007075BD">
            <w:pPr>
              <w:spacing w:line="360" w:lineRule="auto"/>
              <w:jc w:val="center"/>
            </w:pPr>
            <w:r w:rsidRPr="00D870E5">
              <w:t>€ 2,80</w:t>
            </w:r>
          </w:p>
        </w:tc>
        <w:tc>
          <w:tcPr>
            <w:tcW w:w="1566" w:type="dxa"/>
            <w:shd w:val="clear" w:color="auto" w:fill="auto"/>
            <w:vAlign w:val="center"/>
          </w:tcPr>
          <w:p w:rsidR="00D870E5" w:rsidRPr="00D870E5" w:rsidRDefault="00D870E5" w:rsidP="007075BD">
            <w:pPr>
              <w:spacing w:line="360" w:lineRule="auto"/>
              <w:jc w:val="center"/>
            </w:pPr>
            <w:r w:rsidRPr="00D870E5">
              <w:t>€ 1,96</w:t>
            </w:r>
          </w:p>
        </w:tc>
        <w:tc>
          <w:tcPr>
            <w:tcW w:w="1565" w:type="dxa"/>
            <w:shd w:val="clear" w:color="auto" w:fill="auto"/>
            <w:vAlign w:val="center"/>
          </w:tcPr>
          <w:p w:rsidR="00D870E5" w:rsidRPr="00D870E5" w:rsidRDefault="00D870E5" w:rsidP="007075BD">
            <w:pPr>
              <w:spacing w:line="360" w:lineRule="auto"/>
              <w:jc w:val="center"/>
            </w:pPr>
            <w:r w:rsidRPr="00D870E5">
              <w:t>€ 1,90</w:t>
            </w:r>
          </w:p>
        </w:tc>
        <w:tc>
          <w:tcPr>
            <w:tcW w:w="1566" w:type="dxa"/>
            <w:shd w:val="clear" w:color="auto" w:fill="auto"/>
            <w:vAlign w:val="center"/>
          </w:tcPr>
          <w:p w:rsidR="00D870E5" w:rsidRPr="00D870E5" w:rsidRDefault="00D870E5" w:rsidP="007075BD">
            <w:pPr>
              <w:spacing w:line="360" w:lineRule="auto"/>
              <w:jc w:val="center"/>
            </w:pPr>
            <w:r w:rsidRPr="00D870E5">
              <w:t>€ 1,85</w:t>
            </w:r>
          </w:p>
        </w:tc>
      </w:tr>
      <w:tr w:rsidR="00D870E5"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rPr>
            </w:pPr>
            <w:r w:rsidRPr="007075BD">
              <w:rPr>
                <w:b/>
                <w:bCs/>
                <w:i/>
                <w:sz w:val="22"/>
              </w:rPr>
              <w:t>Costi indiretti:</w:t>
            </w:r>
          </w:p>
        </w:tc>
        <w:tc>
          <w:tcPr>
            <w:tcW w:w="7827" w:type="dxa"/>
            <w:gridSpan w:val="5"/>
            <w:shd w:val="clear" w:color="auto" w:fill="auto"/>
            <w:vAlign w:val="center"/>
          </w:tcPr>
          <w:p w:rsidR="00D870E5" w:rsidRPr="00D870E5" w:rsidRDefault="00D870E5" w:rsidP="007075BD">
            <w:pPr>
              <w:spacing w:line="360" w:lineRule="auto"/>
              <w:jc w:val="center"/>
            </w:pP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rPr>
            </w:pPr>
            <w:r w:rsidRPr="007075BD">
              <w:rPr>
                <w:b/>
                <w:bCs/>
                <w:sz w:val="22"/>
              </w:rPr>
              <w:t>Di progettazione</w:t>
            </w:r>
          </w:p>
        </w:tc>
        <w:tc>
          <w:tcPr>
            <w:tcW w:w="1565" w:type="dxa"/>
            <w:shd w:val="clear" w:color="auto" w:fill="auto"/>
            <w:vAlign w:val="center"/>
          </w:tcPr>
          <w:p w:rsidR="00D870E5" w:rsidRPr="00D870E5" w:rsidRDefault="00D870E5" w:rsidP="007075BD">
            <w:pPr>
              <w:spacing w:line="360" w:lineRule="auto"/>
              <w:jc w:val="center"/>
            </w:pPr>
            <w:r w:rsidRPr="00D870E5">
              <w:t>€ 1,50</w:t>
            </w:r>
          </w:p>
        </w:tc>
        <w:tc>
          <w:tcPr>
            <w:tcW w:w="1565" w:type="dxa"/>
            <w:shd w:val="clear" w:color="auto" w:fill="auto"/>
            <w:vAlign w:val="center"/>
          </w:tcPr>
          <w:p w:rsidR="00D870E5" w:rsidRPr="00D870E5" w:rsidRDefault="00D870E5" w:rsidP="007075BD">
            <w:pPr>
              <w:spacing w:line="360" w:lineRule="auto"/>
              <w:jc w:val="center"/>
            </w:pPr>
            <w:r w:rsidRPr="00D870E5">
              <w:t>€ 1,05</w:t>
            </w:r>
          </w:p>
        </w:tc>
        <w:tc>
          <w:tcPr>
            <w:tcW w:w="1566" w:type="dxa"/>
            <w:shd w:val="clear" w:color="auto" w:fill="auto"/>
            <w:vAlign w:val="center"/>
          </w:tcPr>
          <w:p w:rsidR="00D870E5" w:rsidRPr="00D870E5" w:rsidRDefault="00D870E5" w:rsidP="007075BD">
            <w:pPr>
              <w:spacing w:line="360" w:lineRule="auto"/>
              <w:jc w:val="center"/>
            </w:pPr>
            <w:r w:rsidRPr="00D870E5">
              <w:t>€ 0,73</w:t>
            </w:r>
          </w:p>
        </w:tc>
        <w:tc>
          <w:tcPr>
            <w:tcW w:w="1565" w:type="dxa"/>
            <w:shd w:val="clear" w:color="auto" w:fill="auto"/>
            <w:vAlign w:val="center"/>
          </w:tcPr>
          <w:p w:rsidR="00D870E5" w:rsidRPr="00D870E5" w:rsidRDefault="00D870E5" w:rsidP="007075BD">
            <w:pPr>
              <w:spacing w:line="360" w:lineRule="auto"/>
              <w:jc w:val="center"/>
            </w:pPr>
            <w:r w:rsidRPr="00D870E5">
              <w:t>€ 0,60</w:t>
            </w:r>
          </w:p>
        </w:tc>
        <w:tc>
          <w:tcPr>
            <w:tcW w:w="1566" w:type="dxa"/>
            <w:shd w:val="clear" w:color="auto" w:fill="auto"/>
            <w:vAlign w:val="center"/>
          </w:tcPr>
          <w:p w:rsidR="00D870E5" w:rsidRPr="00D870E5" w:rsidRDefault="00D870E5" w:rsidP="007075BD">
            <w:pPr>
              <w:spacing w:line="360" w:lineRule="auto"/>
              <w:jc w:val="center"/>
            </w:pPr>
            <w:r w:rsidRPr="00D870E5">
              <w:t>€ 0,45</w:t>
            </w: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rPr>
                <w:b/>
                <w:bCs/>
                <w:i/>
              </w:rPr>
            </w:pPr>
            <w:r w:rsidRPr="007075BD">
              <w:rPr>
                <w:b/>
                <w:bCs/>
                <w:sz w:val="22"/>
              </w:rPr>
              <w:t>Di struttura</w:t>
            </w:r>
          </w:p>
        </w:tc>
        <w:tc>
          <w:tcPr>
            <w:tcW w:w="1565" w:type="dxa"/>
            <w:shd w:val="clear" w:color="auto" w:fill="auto"/>
            <w:vAlign w:val="center"/>
          </w:tcPr>
          <w:p w:rsidR="00D870E5" w:rsidRPr="00D870E5" w:rsidRDefault="00D870E5" w:rsidP="007075BD">
            <w:pPr>
              <w:spacing w:line="360" w:lineRule="auto"/>
              <w:jc w:val="center"/>
            </w:pPr>
            <w:r w:rsidRPr="00D870E5">
              <w:t>€ 0,40</w:t>
            </w:r>
          </w:p>
        </w:tc>
        <w:tc>
          <w:tcPr>
            <w:tcW w:w="1565" w:type="dxa"/>
            <w:shd w:val="clear" w:color="auto" w:fill="auto"/>
            <w:vAlign w:val="center"/>
          </w:tcPr>
          <w:p w:rsidR="00D870E5" w:rsidRPr="00D870E5" w:rsidRDefault="00D870E5" w:rsidP="007075BD">
            <w:pPr>
              <w:spacing w:line="360" w:lineRule="auto"/>
              <w:jc w:val="center"/>
            </w:pPr>
            <w:r w:rsidRPr="00D870E5">
              <w:t>€ 0,28</w:t>
            </w:r>
          </w:p>
        </w:tc>
        <w:tc>
          <w:tcPr>
            <w:tcW w:w="1566" w:type="dxa"/>
            <w:shd w:val="clear" w:color="auto" w:fill="auto"/>
            <w:vAlign w:val="center"/>
          </w:tcPr>
          <w:p w:rsidR="00D870E5" w:rsidRPr="00D870E5" w:rsidRDefault="00D870E5" w:rsidP="007075BD">
            <w:pPr>
              <w:spacing w:line="360" w:lineRule="auto"/>
              <w:jc w:val="center"/>
            </w:pPr>
            <w:r w:rsidRPr="00D870E5">
              <w:t>€ 0,20</w:t>
            </w:r>
          </w:p>
        </w:tc>
        <w:tc>
          <w:tcPr>
            <w:tcW w:w="1565" w:type="dxa"/>
            <w:shd w:val="clear" w:color="auto" w:fill="auto"/>
            <w:vAlign w:val="center"/>
          </w:tcPr>
          <w:p w:rsidR="00D870E5" w:rsidRPr="00D870E5" w:rsidRDefault="00D870E5" w:rsidP="007075BD">
            <w:pPr>
              <w:spacing w:line="360" w:lineRule="auto"/>
              <w:jc w:val="center"/>
            </w:pPr>
            <w:r w:rsidRPr="00D870E5">
              <w:t>€ 0,15</w:t>
            </w:r>
          </w:p>
        </w:tc>
        <w:tc>
          <w:tcPr>
            <w:tcW w:w="1566" w:type="dxa"/>
            <w:shd w:val="clear" w:color="auto" w:fill="auto"/>
            <w:vAlign w:val="center"/>
          </w:tcPr>
          <w:p w:rsidR="00D870E5" w:rsidRPr="00D870E5" w:rsidRDefault="00D870E5" w:rsidP="007075BD">
            <w:pPr>
              <w:spacing w:line="360" w:lineRule="auto"/>
              <w:jc w:val="center"/>
            </w:pPr>
            <w:r w:rsidRPr="00D870E5">
              <w:t>€ 0,10</w:t>
            </w:r>
          </w:p>
        </w:tc>
      </w:tr>
      <w:tr w:rsidR="007075BD" w:rsidRPr="007075BD" w:rsidTr="007075BD">
        <w:trPr>
          <w:trHeight w:val="828"/>
        </w:trPr>
        <w:tc>
          <w:tcPr>
            <w:tcW w:w="1951" w:type="dxa"/>
            <w:shd w:val="clear" w:color="auto" w:fill="auto"/>
            <w:vAlign w:val="center"/>
          </w:tcPr>
          <w:p w:rsidR="00D870E5" w:rsidRPr="007075BD" w:rsidRDefault="00D870E5" w:rsidP="007075BD">
            <w:pPr>
              <w:spacing w:line="360" w:lineRule="auto"/>
              <w:jc w:val="both"/>
              <w:rPr>
                <w:b/>
                <w:bCs/>
                <w:i/>
              </w:rPr>
            </w:pPr>
            <w:r w:rsidRPr="007075BD">
              <w:rPr>
                <w:b/>
                <w:bCs/>
                <w:i/>
              </w:rPr>
              <w:t>Costo totale</w:t>
            </w:r>
          </w:p>
        </w:tc>
        <w:tc>
          <w:tcPr>
            <w:tcW w:w="1565" w:type="dxa"/>
            <w:shd w:val="clear" w:color="auto" w:fill="auto"/>
            <w:vAlign w:val="center"/>
          </w:tcPr>
          <w:p w:rsidR="00D870E5" w:rsidRPr="007075BD" w:rsidRDefault="00E82D3E" w:rsidP="007075BD">
            <w:pPr>
              <w:spacing w:line="360" w:lineRule="auto"/>
              <w:jc w:val="center"/>
              <w:rPr>
                <w:b/>
                <w:i/>
              </w:rPr>
            </w:pPr>
            <w:r w:rsidRPr="007075BD">
              <w:rPr>
                <w:b/>
                <w:i/>
              </w:rPr>
              <w:t xml:space="preserve">€ </w:t>
            </w:r>
            <w:r w:rsidR="00D870E5" w:rsidRPr="007075BD">
              <w:rPr>
                <w:b/>
                <w:i/>
              </w:rPr>
              <w:t>10,05</w:t>
            </w:r>
          </w:p>
        </w:tc>
        <w:tc>
          <w:tcPr>
            <w:tcW w:w="1565" w:type="dxa"/>
            <w:shd w:val="clear" w:color="auto" w:fill="auto"/>
            <w:vAlign w:val="center"/>
          </w:tcPr>
          <w:p w:rsidR="00D870E5" w:rsidRPr="007075BD" w:rsidRDefault="00E82D3E" w:rsidP="007075BD">
            <w:pPr>
              <w:spacing w:line="360" w:lineRule="auto"/>
              <w:jc w:val="center"/>
              <w:rPr>
                <w:b/>
                <w:i/>
              </w:rPr>
            </w:pPr>
            <w:r w:rsidRPr="007075BD">
              <w:rPr>
                <w:b/>
                <w:i/>
              </w:rPr>
              <w:t xml:space="preserve">€ </w:t>
            </w:r>
            <w:r w:rsidR="00D870E5" w:rsidRPr="007075BD">
              <w:rPr>
                <w:b/>
                <w:i/>
              </w:rPr>
              <w:t>0,935</w:t>
            </w:r>
          </w:p>
        </w:tc>
        <w:tc>
          <w:tcPr>
            <w:tcW w:w="1566" w:type="dxa"/>
            <w:shd w:val="clear" w:color="auto" w:fill="auto"/>
            <w:vAlign w:val="center"/>
          </w:tcPr>
          <w:p w:rsidR="00D870E5" w:rsidRPr="007075BD" w:rsidRDefault="00E82D3E" w:rsidP="007075BD">
            <w:pPr>
              <w:spacing w:line="360" w:lineRule="auto"/>
              <w:jc w:val="center"/>
              <w:rPr>
                <w:b/>
                <w:i/>
              </w:rPr>
            </w:pPr>
            <w:r w:rsidRPr="007075BD">
              <w:rPr>
                <w:b/>
                <w:i/>
              </w:rPr>
              <w:t xml:space="preserve">€ </w:t>
            </w:r>
            <w:r w:rsidR="00D870E5" w:rsidRPr="007075BD">
              <w:rPr>
                <w:b/>
                <w:i/>
              </w:rPr>
              <w:t>0,821</w:t>
            </w:r>
          </w:p>
        </w:tc>
        <w:tc>
          <w:tcPr>
            <w:tcW w:w="1565" w:type="dxa"/>
            <w:shd w:val="clear" w:color="auto" w:fill="auto"/>
            <w:vAlign w:val="center"/>
          </w:tcPr>
          <w:p w:rsidR="00D870E5" w:rsidRPr="007075BD" w:rsidRDefault="00E82D3E" w:rsidP="007075BD">
            <w:pPr>
              <w:spacing w:line="360" w:lineRule="auto"/>
              <w:jc w:val="center"/>
              <w:rPr>
                <w:b/>
                <w:i/>
              </w:rPr>
            </w:pPr>
            <w:r w:rsidRPr="007075BD">
              <w:rPr>
                <w:b/>
                <w:i/>
              </w:rPr>
              <w:t xml:space="preserve">€ </w:t>
            </w:r>
            <w:r w:rsidR="00D870E5" w:rsidRPr="007075BD">
              <w:rPr>
                <w:b/>
                <w:i/>
              </w:rPr>
              <w:t>0,80</w:t>
            </w:r>
          </w:p>
        </w:tc>
        <w:tc>
          <w:tcPr>
            <w:tcW w:w="1566" w:type="dxa"/>
            <w:shd w:val="clear" w:color="auto" w:fill="auto"/>
            <w:vAlign w:val="center"/>
          </w:tcPr>
          <w:p w:rsidR="00D870E5" w:rsidRPr="007075BD" w:rsidRDefault="00E82D3E" w:rsidP="007075BD">
            <w:pPr>
              <w:spacing w:line="360" w:lineRule="auto"/>
              <w:jc w:val="center"/>
              <w:rPr>
                <w:b/>
                <w:i/>
              </w:rPr>
            </w:pPr>
            <w:r w:rsidRPr="007075BD">
              <w:rPr>
                <w:b/>
                <w:i/>
              </w:rPr>
              <w:t xml:space="preserve">€ </w:t>
            </w:r>
            <w:r w:rsidR="00D870E5" w:rsidRPr="007075BD">
              <w:rPr>
                <w:b/>
                <w:i/>
              </w:rPr>
              <w:t>0,80</w:t>
            </w:r>
          </w:p>
        </w:tc>
      </w:tr>
    </w:tbl>
    <w:p w:rsidR="00D870E5" w:rsidRPr="003727D8" w:rsidRDefault="00D870E5" w:rsidP="003727D8">
      <w:pPr>
        <w:spacing w:line="360" w:lineRule="auto"/>
        <w:jc w:val="both"/>
        <w:rPr>
          <w:i/>
        </w:rPr>
      </w:pPr>
    </w:p>
    <w:sectPr w:rsidR="00D870E5" w:rsidRPr="003727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13" w:rsidRDefault="00AB0513" w:rsidP="0061199B">
      <w:r>
        <w:separator/>
      </w:r>
    </w:p>
  </w:endnote>
  <w:endnote w:type="continuationSeparator" w:id="0">
    <w:p w:rsidR="00AB0513" w:rsidRDefault="00AB0513" w:rsidP="0061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13" w:rsidRDefault="00AB0513" w:rsidP="0061199B">
      <w:r>
        <w:separator/>
      </w:r>
    </w:p>
  </w:footnote>
  <w:footnote w:type="continuationSeparator" w:id="0">
    <w:p w:rsidR="00AB0513" w:rsidRDefault="00AB0513" w:rsidP="0061199B">
      <w:r>
        <w:continuationSeparator/>
      </w:r>
    </w:p>
  </w:footnote>
  <w:footnote w:id="1">
    <w:p w:rsidR="0061199B" w:rsidRDefault="0061199B">
      <w:pPr>
        <w:pStyle w:val="Testonotaapidipagina"/>
      </w:pPr>
      <w:r>
        <w:rPr>
          <w:rStyle w:val="Rimandonotaapidipagina"/>
        </w:rPr>
        <w:footnoteRef/>
      </w:r>
      <w:r>
        <w:t xml:space="preserve"> Caso </w:t>
      </w:r>
      <w:r w:rsidR="00CC3121">
        <w:t>predisposto</w:t>
      </w:r>
      <w:bookmarkStart w:id="0" w:name="_GoBack"/>
      <w:bookmarkEnd w:id="0"/>
      <w:r>
        <w:t xml:space="preserve"> da A. Bubbio</w:t>
      </w:r>
    </w:p>
    <w:p w:rsidR="0061199B" w:rsidRDefault="0061199B">
      <w:pPr>
        <w:pStyle w:val="Testonotaapidipagina"/>
      </w:pPr>
      <w:r>
        <w:t xml:space="preserve">Università Carlo Cattaneo – LIUC </w:t>
      </w:r>
    </w:p>
    <w:p w:rsidR="0061199B" w:rsidRDefault="0061199B">
      <w:pPr>
        <w:pStyle w:val="Testonotaapidipagina"/>
      </w:pPr>
      <w:r>
        <w:t>Castellanza (VA), settembre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CB4"/>
    <w:multiLevelType w:val="hybridMultilevel"/>
    <w:tmpl w:val="E470509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25E868C6"/>
    <w:multiLevelType w:val="hybridMultilevel"/>
    <w:tmpl w:val="328A5FE0"/>
    <w:lvl w:ilvl="0" w:tplc="ED4E83C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D46B6D"/>
    <w:multiLevelType w:val="hybridMultilevel"/>
    <w:tmpl w:val="F5DC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8B5"/>
    <w:rsid w:val="00127DDA"/>
    <w:rsid w:val="00152B2D"/>
    <w:rsid w:val="001F6C5D"/>
    <w:rsid w:val="0024045D"/>
    <w:rsid w:val="002C2FA6"/>
    <w:rsid w:val="003727D8"/>
    <w:rsid w:val="003B0527"/>
    <w:rsid w:val="0047369B"/>
    <w:rsid w:val="005318B5"/>
    <w:rsid w:val="005521EB"/>
    <w:rsid w:val="0061199B"/>
    <w:rsid w:val="007075BD"/>
    <w:rsid w:val="007A4709"/>
    <w:rsid w:val="007F678C"/>
    <w:rsid w:val="00846415"/>
    <w:rsid w:val="00846D73"/>
    <w:rsid w:val="00875460"/>
    <w:rsid w:val="00924EC2"/>
    <w:rsid w:val="009839A4"/>
    <w:rsid w:val="009B0447"/>
    <w:rsid w:val="00A66DF7"/>
    <w:rsid w:val="00AB0513"/>
    <w:rsid w:val="00AB0BAD"/>
    <w:rsid w:val="00AD6174"/>
    <w:rsid w:val="00C14C88"/>
    <w:rsid w:val="00CC3121"/>
    <w:rsid w:val="00D33AF4"/>
    <w:rsid w:val="00D870E5"/>
    <w:rsid w:val="00E82D3E"/>
    <w:rsid w:val="00F731AF"/>
    <w:rsid w:val="00FC0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DB56"/>
  <w15:chartTrackingRefBased/>
  <w15:docId w15:val="{525C20E1-2181-4641-B21D-3FE7E951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7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4">
    <w:name w:val="Grid Table 5 Dark Accent 4"/>
    <w:basedOn w:val="Tabellanormale"/>
    <w:uiPriority w:val="50"/>
    <w:rsid w:val="008754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Tabellagriglia5scura-colore2">
    <w:name w:val="Grid Table 5 Dark Accent 2"/>
    <w:basedOn w:val="Tabellanormale"/>
    <w:uiPriority w:val="50"/>
    <w:rsid w:val="008754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ellagriglia5scura-colore1">
    <w:name w:val="Grid Table 5 Dark Accent 1"/>
    <w:basedOn w:val="Tabellanormale"/>
    <w:uiPriority w:val="50"/>
    <w:rsid w:val="007F67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Testonotaapidipagina">
    <w:name w:val="footnote text"/>
    <w:basedOn w:val="Normale"/>
    <w:link w:val="TestonotaapidipaginaCarattere"/>
    <w:uiPriority w:val="99"/>
    <w:semiHidden/>
    <w:unhideWhenUsed/>
    <w:rsid w:val="0061199B"/>
    <w:rPr>
      <w:sz w:val="20"/>
      <w:szCs w:val="20"/>
    </w:rPr>
  </w:style>
  <w:style w:type="character" w:customStyle="1" w:styleId="TestonotaapidipaginaCarattere">
    <w:name w:val="Testo nota a piè di pagina Carattere"/>
    <w:link w:val="Testonotaapidipagina"/>
    <w:uiPriority w:val="99"/>
    <w:semiHidden/>
    <w:rsid w:val="0061199B"/>
    <w:rPr>
      <w:lang w:eastAsia="zh-CN"/>
    </w:rPr>
  </w:style>
  <w:style w:type="character" w:styleId="Rimandonotaapidipagina">
    <w:name w:val="footnote reference"/>
    <w:uiPriority w:val="99"/>
    <w:semiHidden/>
    <w:unhideWhenUsed/>
    <w:rsid w:val="0061199B"/>
    <w:rPr>
      <w:vertAlign w:val="superscript"/>
    </w:rPr>
  </w:style>
  <w:style w:type="table" w:styleId="Tabellasemplice-2">
    <w:name w:val="Plain Table 2"/>
    <w:basedOn w:val="Tabellanormale"/>
    <w:uiPriority w:val="42"/>
    <w:rsid w:val="00D870E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gliatab3">
    <w:name w:val="Grid Table 3"/>
    <w:basedOn w:val="Tabellanormale"/>
    <w:uiPriority w:val="48"/>
    <w:rsid w:val="00D870E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agriglia1chiara">
    <w:name w:val="Grid Table 1 Light"/>
    <w:basedOn w:val="Tabellanormale"/>
    <w:uiPriority w:val="46"/>
    <w:rsid w:val="00D870E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stofumetto">
    <w:name w:val="Balloon Text"/>
    <w:basedOn w:val="Normale"/>
    <w:link w:val="TestofumettoCarattere"/>
    <w:uiPriority w:val="99"/>
    <w:semiHidden/>
    <w:unhideWhenUsed/>
    <w:rsid w:val="00E82D3E"/>
    <w:rPr>
      <w:rFonts w:ascii="Segoe UI" w:hAnsi="Segoe UI" w:cs="Segoe UI"/>
      <w:sz w:val="18"/>
      <w:szCs w:val="18"/>
    </w:rPr>
  </w:style>
  <w:style w:type="character" w:customStyle="1" w:styleId="TestofumettoCarattere">
    <w:name w:val="Testo fumetto Carattere"/>
    <w:link w:val="Testofumetto"/>
    <w:uiPriority w:val="99"/>
    <w:semiHidden/>
    <w:rsid w:val="00E82D3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4012-E923-4470-BC7B-76963CB6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785</Words>
  <Characters>4480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____________________________________________________________</vt:lpstr>
    </vt:vector>
  </TitlesOfParts>
  <Company>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User</dc:creator>
  <cp:keywords/>
  <dc:description/>
  <cp:lastModifiedBy>Alberto Bubbio</cp:lastModifiedBy>
  <cp:revision>4</cp:revision>
  <cp:lastPrinted>2016-09-19T12:17:00Z</cp:lastPrinted>
  <dcterms:created xsi:type="dcterms:W3CDTF">2016-09-19T10:35:00Z</dcterms:created>
  <dcterms:modified xsi:type="dcterms:W3CDTF">2016-09-19T15:33:00Z</dcterms:modified>
</cp:coreProperties>
</file>