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40F49" w14:textId="77777777" w:rsidR="007B6093" w:rsidRPr="007B6093" w:rsidRDefault="00276132" w:rsidP="007B6093">
      <w:pPr>
        <w:pStyle w:val="NoSpacing"/>
      </w:pPr>
      <w:r w:rsidRPr="007B6093">
        <w:t xml:space="preserve">EX 14 Construction Contracts </w:t>
      </w:r>
      <w:r w:rsidR="007B6093" w:rsidRPr="007B6093">
        <w:t>–</w:t>
      </w:r>
      <w:r w:rsidRPr="007B6093">
        <w:t xml:space="preserve"> Exercises</w:t>
      </w:r>
    </w:p>
    <w:p w14:paraId="747B6751" w14:textId="77777777" w:rsidR="007B6093" w:rsidRDefault="007B6093"/>
    <w:p w14:paraId="3D377BBF" w14:textId="77777777" w:rsidR="007B6093" w:rsidRDefault="007B6093"/>
    <w:p w14:paraId="149328D4" w14:textId="77777777" w:rsidR="007B6093" w:rsidRDefault="007B6093" w:rsidP="007B6093">
      <w:pPr>
        <w:pStyle w:val="NoSpacing"/>
        <w:rPr>
          <w:sz w:val="22"/>
          <w:szCs w:val="20"/>
          <w:lang w:val="en-US" w:eastAsia="ja-JP"/>
        </w:rPr>
      </w:pPr>
      <w:r>
        <w:rPr>
          <w:sz w:val="22"/>
          <w:szCs w:val="20"/>
          <w:lang w:val="en-US" w:eastAsia="ja-JP"/>
        </w:rPr>
        <w:t xml:space="preserve">1. </w:t>
      </w:r>
      <w:r w:rsidRPr="007B6093">
        <w:rPr>
          <w:sz w:val="22"/>
          <w:szCs w:val="20"/>
          <w:lang w:val="en-US" w:eastAsia="ja-JP"/>
        </w:rPr>
        <w:t xml:space="preserve">On July 1st, 2010, Delta Ltd. negotiated a </w:t>
      </w:r>
      <w:r>
        <w:rPr>
          <w:sz w:val="22"/>
          <w:szCs w:val="20"/>
          <w:lang w:val="en-US" w:eastAsia="ja-JP"/>
        </w:rPr>
        <w:t>long-term</w:t>
      </w:r>
      <w:r w:rsidRPr="007B6093">
        <w:rPr>
          <w:sz w:val="22"/>
          <w:szCs w:val="20"/>
          <w:lang w:val="en-US" w:eastAsia="ja-JP"/>
        </w:rPr>
        <w:t xml:space="preserve"> contract to build a new yacht, for an amount of </w:t>
      </w:r>
      <w:r>
        <w:rPr>
          <w:sz w:val="22"/>
          <w:szCs w:val="20"/>
          <w:lang w:val="en-US" w:eastAsia="ja-JP"/>
        </w:rPr>
        <w:t xml:space="preserve">€ </w:t>
      </w:r>
      <w:r w:rsidRPr="007B6093">
        <w:rPr>
          <w:sz w:val="22"/>
          <w:szCs w:val="20"/>
          <w:lang w:val="en-US" w:eastAsia="ja-JP"/>
        </w:rPr>
        <w:t>50.000</w:t>
      </w:r>
      <w:proofErr w:type="gramStart"/>
      <w:r w:rsidRPr="007B6093">
        <w:rPr>
          <w:sz w:val="22"/>
          <w:szCs w:val="20"/>
          <w:lang w:val="en-US" w:eastAsia="ja-JP"/>
        </w:rPr>
        <w:t>. </w:t>
      </w:r>
      <w:proofErr w:type="gramEnd"/>
      <w:r w:rsidRPr="007B6093">
        <w:rPr>
          <w:sz w:val="22"/>
          <w:szCs w:val="20"/>
          <w:lang w:val="en-US" w:eastAsia="ja-JP"/>
        </w:rPr>
        <w:t xml:space="preserve">The estimated time to </w:t>
      </w:r>
      <w:r>
        <w:rPr>
          <w:sz w:val="22"/>
          <w:szCs w:val="20"/>
          <w:lang w:val="en-US" w:eastAsia="ja-JP"/>
        </w:rPr>
        <w:t>construct this</w:t>
      </w:r>
      <w:r w:rsidRPr="007B6093">
        <w:rPr>
          <w:sz w:val="22"/>
          <w:szCs w:val="20"/>
          <w:lang w:val="en-US" w:eastAsia="ja-JP"/>
        </w:rPr>
        <w:t xml:space="preserve"> was three years. The following table provides the information the </w:t>
      </w:r>
      <w:r>
        <w:rPr>
          <w:sz w:val="22"/>
          <w:szCs w:val="20"/>
          <w:lang w:val="en-US" w:eastAsia="ja-JP"/>
        </w:rPr>
        <w:t xml:space="preserve">costs and the timing of these that the </w:t>
      </w:r>
      <w:r w:rsidRPr="007B6093">
        <w:rPr>
          <w:sz w:val="22"/>
          <w:szCs w:val="20"/>
          <w:lang w:val="en-US" w:eastAsia="ja-JP"/>
        </w:rPr>
        <w:t xml:space="preserve">company </w:t>
      </w:r>
      <w:r>
        <w:rPr>
          <w:sz w:val="22"/>
          <w:szCs w:val="20"/>
          <w:lang w:val="en-US" w:eastAsia="ja-JP"/>
        </w:rPr>
        <w:t>incurred during the life of the contract.</w:t>
      </w:r>
    </w:p>
    <w:p w14:paraId="6C9209B5" w14:textId="77777777" w:rsidR="007B6093" w:rsidRPr="007B6093" w:rsidRDefault="007B6093" w:rsidP="007B6093">
      <w:pPr>
        <w:pStyle w:val="NoSpacing"/>
        <w:ind w:left="360"/>
        <w:rPr>
          <w:rFonts w:ascii="Times" w:hAnsi="Times" w:cs="Times"/>
          <w:sz w:val="22"/>
          <w:szCs w:val="20"/>
          <w:lang w:val="en-US" w:eastAsia="ja-JP"/>
        </w:rPr>
      </w:pPr>
    </w:p>
    <w:p w14:paraId="398B438A" w14:textId="77777777" w:rsidR="007B6093" w:rsidRPr="007B6093" w:rsidRDefault="007B6093" w:rsidP="007B6093">
      <w:pPr>
        <w:pStyle w:val="NoSpacing"/>
        <w:rPr>
          <w:sz w:val="22"/>
          <w:szCs w:val="20"/>
          <w:lang w:val="en-US" w:eastAsia="ja-JP"/>
        </w:rPr>
      </w:pPr>
      <w:r w:rsidRPr="007B6093">
        <w:rPr>
          <w:sz w:val="22"/>
          <w:szCs w:val="20"/>
          <w:lang w:val="en-US" w:eastAsia="ja-JP"/>
        </w:rPr>
        <w:t xml:space="preserve">Considering </w:t>
      </w:r>
      <w:r>
        <w:rPr>
          <w:sz w:val="22"/>
          <w:szCs w:val="20"/>
          <w:lang w:val="en-US" w:eastAsia="ja-JP"/>
        </w:rPr>
        <w:t>this data</w:t>
      </w:r>
      <w:r w:rsidRPr="007B6093">
        <w:rPr>
          <w:sz w:val="22"/>
          <w:szCs w:val="20"/>
          <w:lang w:val="en-US" w:eastAsia="ja-JP"/>
        </w:rPr>
        <w:t xml:space="preserve">, and </w:t>
      </w:r>
      <w:r>
        <w:rPr>
          <w:sz w:val="22"/>
          <w:szCs w:val="20"/>
          <w:lang w:val="en-US" w:eastAsia="ja-JP"/>
        </w:rPr>
        <w:t>assuming</w:t>
      </w:r>
      <w:r w:rsidRPr="007B6093">
        <w:rPr>
          <w:sz w:val="22"/>
          <w:szCs w:val="20"/>
          <w:lang w:val="en-US" w:eastAsia="ja-JP"/>
        </w:rPr>
        <w:t xml:space="preserve"> that the percentage of completion is determined on the basis of the costs incurred, </w:t>
      </w:r>
      <w:r>
        <w:rPr>
          <w:sz w:val="22"/>
          <w:szCs w:val="20"/>
          <w:lang w:val="en-US" w:eastAsia="ja-JP"/>
        </w:rPr>
        <w:t>complete</w:t>
      </w:r>
      <w:r w:rsidRPr="007B6093">
        <w:rPr>
          <w:sz w:val="22"/>
          <w:szCs w:val="20"/>
          <w:lang w:val="en-US" w:eastAsia="ja-JP"/>
        </w:rPr>
        <w:t xml:space="preserve"> the table below with the correct values: </w:t>
      </w:r>
    </w:p>
    <w:p w14:paraId="2EAAD66E" w14:textId="77777777" w:rsidR="007B6093" w:rsidRPr="007B6093" w:rsidRDefault="007B6093" w:rsidP="007B6093">
      <w:pPr>
        <w:pStyle w:val="NoSpacing"/>
        <w:rPr>
          <w:rFonts w:ascii="Times" w:hAnsi="Times" w:cs="Times"/>
          <w:sz w:val="22"/>
          <w:szCs w:val="20"/>
          <w:lang w:val="en-US" w:eastAsia="ja-JP"/>
        </w:rPr>
      </w:pPr>
    </w:p>
    <w:tbl>
      <w:tblPr>
        <w:tblW w:w="9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851"/>
        <w:gridCol w:w="850"/>
        <w:gridCol w:w="1014"/>
      </w:tblGrid>
      <w:tr w:rsidR="007B6093" w:rsidRPr="007B6093" w14:paraId="0718DD29" w14:textId="77777777" w:rsidTr="007B6093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116DF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74BD8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5676C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D7ECA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2012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5DC16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2013 </w:t>
            </w:r>
          </w:p>
        </w:tc>
      </w:tr>
      <w:tr w:rsidR="007B6093" w:rsidRPr="007B6093" w14:paraId="3D70298A" w14:textId="77777777" w:rsidTr="007B60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924F7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Costs incurred during the financial period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C04FB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6.000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7BE38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15.000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92430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10.000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E27F8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9.000 </w:t>
            </w:r>
          </w:p>
        </w:tc>
      </w:tr>
      <w:tr w:rsidR="007B6093" w:rsidRPr="007B6093" w14:paraId="0A3EC278" w14:textId="77777777" w:rsidTr="007B60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661D0" w14:textId="074F997D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Costs estimated </w:t>
            </w:r>
            <w:r>
              <w:rPr>
                <w:sz w:val="22"/>
                <w:szCs w:val="20"/>
                <w:lang w:val="en-US" w:eastAsia="ja-JP"/>
              </w:rPr>
              <w:t xml:space="preserve">to </w:t>
            </w:r>
            <w:r w:rsidRPr="007B6093">
              <w:rPr>
                <w:sz w:val="22"/>
                <w:szCs w:val="20"/>
                <w:lang w:val="en-US" w:eastAsia="ja-JP"/>
              </w:rPr>
              <w:t xml:space="preserve">completion (at the end of the year)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31167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34.000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F4FAC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19.000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03640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9.000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E1B00" w14:textId="77777777" w:rsidR="007B6093" w:rsidRPr="007B6093" w:rsidRDefault="007B6093" w:rsidP="006F20D2">
            <w:pPr>
              <w:pStyle w:val="NoSpacing"/>
              <w:jc w:val="right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sz w:val="22"/>
                <w:szCs w:val="20"/>
                <w:lang w:val="en-US" w:eastAsia="ja-JP"/>
              </w:rPr>
              <w:t xml:space="preserve">0 </w:t>
            </w:r>
          </w:p>
        </w:tc>
      </w:tr>
      <w:tr w:rsidR="007B6093" w:rsidRPr="007B6093" w14:paraId="0E8BEA12" w14:textId="77777777" w:rsidTr="007B6093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7258D" w14:textId="77777777" w:rsidR="007B6093" w:rsidRPr="007B6093" w:rsidRDefault="006F20D2" w:rsidP="007B6093">
            <w:pPr>
              <w:pStyle w:val="NoSpacing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ja-JP"/>
              </w:rPr>
              <w:t>Amounts invoiced during the period (Progress billings)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84F4B" w14:textId="77777777" w:rsidR="007B6093" w:rsidRPr="007B6093" w:rsidRDefault="006F20D2" w:rsidP="006F20D2">
            <w:pPr>
              <w:pStyle w:val="NoSpacing"/>
              <w:jc w:val="right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ja-JP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6A526" w14:textId="77777777" w:rsidR="007B6093" w:rsidRPr="007B6093" w:rsidRDefault="006F20D2" w:rsidP="006F20D2">
            <w:pPr>
              <w:pStyle w:val="NoSpacing"/>
              <w:jc w:val="right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ja-JP"/>
              </w:rPr>
              <w:t>14.000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A5F6C" w14:textId="77777777" w:rsidR="007B6093" w:rsidRPr="007B6093" w:rsidRDefault="006F20D2" w:rsidP="006F20D2">
            <w:pPr>
              <w:pStyle w:val="NoSpacing"/>
              <w:jc w:val="right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ja-JP"/>
              </w:rPr>
              <w:t>9.000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B8A0C" w14:textId="77777777" w:rsidR="007B6093" w:rsidRPr="007B6093" w:rsidRDefault="006F20D2" w:rsidP="006F20D2">
            <w:pPr>
              <w:pStyle w:val="NoSpacing"/>
              <w:jc w:val="right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ja-JP"/>
              </w:rPr>
              <w:t>12.000</w:t>
            </w:r>
          </w:p>
        </w:tc>
      </w:tr>
    </w:tbl>
    <w:p w14:paraId="289F63D2" w14:textId="77777777" w:rsidR="007B6093" w:rsidRDefault="007B6093" w:rsidP="007B6093">
      <w:pPr>
        <w:pStyle w:val="NoSpacing"/>
        <w:rPr>
          <w:sz w:val="20"/>
          <w:szCs w:val="20"/>
        </w:rPr>
      </w:pPr>
    </w:p>
    <w:p w14:paraId="05C53A5F" w14:textId="77777777" w:rsidR="007B6093" w:rsidRDefault="007B6093" w:rsidP="007B6093">
      <w:pPr>
        <w:pStyle w:val="NoSpacing"/>
        <w:rPr>
          <w:sz w:val="20"/>
          <w:szCs w:val="20"/>
        </w:rPr>
      </w:pPr>
    </w:p>
    <w:tbl>
      <w:tblPr>
        <w:tblW w:w="9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851"/>
        <w:gridCol w:w="850"/>
        <w:gridCol w:w="1014"/>
      </w:tblGrid>
      <w:tr w:rsidR="007B6093" w:rsidRPr="007B6093" w14:paraId="1AAF1E0B" w14:textId="77777777" w:rsidTr="007B6093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0222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b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sz w:val="22"/>
                <w:szCs w:val="20"/>
                <w:lang w:val="en-US" w:eastAsia="ja-JP"/>
              </w:rPr>
              <w:t>Contract accounting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7D852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2B94C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B8DF2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2012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167FC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 w:rsidRPr="007B6093">
              <w:rPr>
                <w:rFonts w:ascii="Times" w:hAnsi="Times" w:cs="Times"/>
                <w:b/>
                <w:bCs/>
                <w:sz w:val="22"/>
                <w:szCs w:val="20"/>
                <w:lang w:val="en-US" w:eastAsia="ja-JP"/>
              </w:rPr>
              <w:t xml:space="preserve">2013 </w:t>
            </w:r>
          </w:p>
        </w:tc>
      </w:tr>
      <w:tr w:rsidR="007B6093" w:rsidRPr="007B6093" w14:paraId="2F97368E" w14:textId="77777777" w:rsidTr="007B60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04A43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2"/>
                <w:szCs w:val="20"/>
                <w:lang w:val="en-US" w:eastAsia="ja-JP"/>
              </w:rPr>
              <w:t>Contract work in progress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DC402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54822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D1E29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AF49F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</w:tr>
      <w:tr w:rsidR="007B6093" w:rsidRPr="007B6093" w14:paraId="50A6289A" w14:textId="77777777" w:rsidTr="007B60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14A14D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2"/>
                <w:szCs w:val="20"/>
                <w:lang w:val="en-US" w:eastAsia="ja-JP"/>
              </w:rPr>
              <w:t>Net asset (liability)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CFE42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30A69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32F37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73F5B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2"/>
                <w:szCs w:val="20"/>
                <w:lang w:val="en-US" w:eastAsia="ja-JP"/>
              </w:rPr>
            </w:pPr>
          </w:p>
        </w:tc>
      </w:tr>
      <w:tr w:rsidR="007B6093" w:rsidRPr="007B6093" w14:paraId="02A953B9" w14:textId="77777777" w:rsidTr="007B6093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6BAC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ja-JP"/>
              </w:rPr>
              <w:t>Attributable profit (loss)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F6327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B9574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14527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6C3FC" w14:textId="77777777" w:rsidR="007B6093" w:rsidRPr="007B6093" w:rsidRDefault="007B6093" w:rsidP="007B6093">
            <w:pPr>
              <w:pStyle w:val="NoSpacing"/>
              <w:rPr>
                <w:rFonts w:ascii="Times" w:hAnsi="Times" w:cs="Times"/>
                <w:sz w:val="20"/>
                <w:szCs w:val="20"/>
                <w:lang w:val="en-US" w:eastAsia="ja-JP"/>
              </w:rPr>
            </w:pPr>
          </w:p>
        </w:tc>
      </w:tr>
    </w:tbl>
    <w:p w14:paraId="34FD8406" w14:textId="77777777" w:rsidR="007B6093" w:rsidRDefault="007B6093" w:rsidP="007B6093">
      <w:pPr>
        <w:pStyle w:val="NoSpacing"/>
        <w:rPr>
          <w:sz w:val="20"/>
          <w:szCs w:val="20"/>
        </w:rPr>
      </w:pPr>
      <w:bookmarkStart w:id="0" w:name="_GoBack"/>
      <w:bookmarkEnd w:id="0"/>
    </w:p>
    <w:p w14:paraId="7CBEAD46" w14:textId="77777777" w:rsidR="007B6093" w:rsidRDefault="007B6093" w:rsidP="007B6093">
      <w:pPr>
        <w:pStyle w:val="NoSpacing"/>
        <w:rPr>
          <w:sz w:val="20"/>
          <w:szCs w:val="20"/>
        </w:rPr>
      </w:pPr>
    </w:p>
    <w:p w14:paraId="2328185C" w14:textId="77777777" w:rsidR="006F20D2" w:rsidRDefault="006F20D2" w:rsidP="007B6093">
      <w:pPr>
        <w:pStyle w:val="NoSpacing"/>
        <w:rPr>
          <w:sz w:val="20"/>
          <w:szCs w:val="20"/>
        </w:rPr>
      </w:pPr>
    </w:p>
    <w:p w14:paraId="543B3D83" w14:textId="77777777" w:rsidR="006F20D2" w:rsidRDefault="006F20D2" w:rsidP="007B60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How are construction contracts defined in IAS 11?</w:t>
      </w:r>
    </w:p>
    <w:p w14:paraId="7FB3BE5A" w14:textId="77777777" w:rsidR="00C765CC" w:rsidRDefault="00C765CC" w:rsidP="007B6093">
      <w:pPr>
        <w:pStyle w:val="NoSpacing"/>
        <w:rPr>
          <w:sz w:val="20"/>
          <w:szCs w:val="20"/>
        </w:rPr>
      </w:pPr>
    </w:p>
    <w:p w14:paraId="170EC027" w14:textId="77777777" w:rsidR="00C41BB1" w:rsidRDefault="00C41BB1" w:rsidP="007B6093">
      <w:pPr>
        <w:pStyle w:val="NoSpacing"/>
        <w:rPr>
          <w:sz w:val="20"/>
          <w:szCs w:val="20"/>
        </w:rPr>
      </w:pPr>
    </w:p>
    <w:p w14:paraId="741479DB" w14:textId="77777777" w:rsidR="00C41BB1" w:rsidRDefault="00C41BB1" w:rsidP="007B6093">
      <w:pPr>
        <w:pStyle w:val="NoSpacing"/>
        <w:rPr>
          <w:sz w:val="20"/>
          <w:szCs w:val="20"/>
        </w:rPr>
      </w:pPr>
    </w:p>
    <w:p w14:paraId="1982FB6A" w14:textId="77777777" w:rsidR="00C765CC" w:rsidRDefault="00C765CC" w:rsidP="007B6093">
      <w:pPr>
        <w:pStyle w:val="NoSpacing"/>
        <w:rPr>
          <w:sz w:val="20"/>
          <w:szCs w:val="20"/>
        </w:rPr>
      </w:pPr>
    </w:p>
    <w:p w14:paraId="50F3C7E8" w14:textId="77777777" w:rsidR="00C765CC" w:rsidRDefault="00C765CC" w:rsidP="007B60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When should contracts be combined and when should they be segregated under IAS 11?</w:t>
      </w:r>
    </w:p>
    <w:p w14:paraId="3348E42D" w14:textId="77777777" w:rsidR="00C765CC" w:rsidRDefault="00C765CC" w:rsidP="007B6093">
      <w:pPr>
        <w:pStyle w:val="NoSpacing"/>
        <w:rPr>
          <w:sz w:val="20"/>
          <w:szCs w:val="20"/>
        </w:rPr>
      </w:pPr>
    </w:p>
    <w:p w14:paraId="6DBF10B8" w14:textId="77777777" w:rsidR="00A848ED" w:rsidRDefault="00A848ED" w:rsidP="00A848ED">
      <w:pPr>
        <w:pStyle w:val="NoSpacing"/>
        <w:rPr>
          <w:color w:val="3366FF"/>
          <w:sz w:val="20"/>
          <w:szCs w:val="20"/>
        </w:rPr>
      </w:pPr>
    </w:p>
    <w:p w14:paraId="5093B334" w14:textId="77777777" w:rsidR="00C41BB1" w:rsidRDefault="00C41BB1" w:rsidP="00A848ED">
      <w:pPr>
        <w:pStyle w:val="NoSpacing"/>
        <w:rPr>
          <w:color w:val="3366FF"/>
          <w:sz w:val="20"/>
          <w:szCs w:val="20"/>
        </w:rPr>
      </w:pPr>
    </w:p>
    <w:p w14:paraId="5EF5FB21" w14:textId="77777777" w:rsidR="00C41BB1" w:rsidRDefault="00C41BB1" w:rsidP="00A848ED">
      <w:pPr>
        <w:pStyle w:val="NoSpacing"/>
        <w:rPr>
          <w:color w:val="3366FF"/>
          <w:sz w:val="20"/>
          <w:szCs w:val="20"/>
        </w:rPr>
      </w:pPr>
    </w:p>
    <w:p w14:paraId="1DB0162E" w14:textId="77777777" w:rsidR="00C41BB1" w:rsidRDefault="00C41BB1" w:rsidP="00A848ED">
      <w:pPr>
        <w:pStyle w:val="NoSpacing"/>
        <w:rPr>
          <w:color w:val="3366FF"/>
          <w:sz w:val="20"/>
          <w:szCs w:val="20"/>
        </w:rPr>
      </w:pPr>
    </w:p>
    <w:p w14:paraId="4D4EBA6A" w14:textId="77777777" w:rsidR="00C41BB1" w:rsidRDefault="00C41BB1" w:rsidP="00A848ED">
      <w:pPr>
        <w:pStyle w:val="NoSpacing"/>
        <w:rPr>
          <w:color w:val="3366FF"/>
          <w:sz w:val="20"/>
          <w:szCs w:val="20"/>
        </w:rPr>
      </w:pPr>
    </w:p>
    <w:p w14:paraId="55F15410" w14:textId="77777777" w:rsidR="00A848ED" w:rsidRDefault="00A848ED" w:rsidP="00A848ED">
      <w:pPr>
        <w:pStyle w:val="NoSpacing"/>
        <w:rPr>
          <w:color w:val="3366FF"/>
          <w:sz w:val="20"/>
          <w:szCs w:val="20"/>
        </w:rPr>
      </w:pPr>
    </w:p>
    <w:p w14:paraId="2632BA83" w14:textId="51C9127A" w:rsidR="00A848ED" w:rsidRDefault="00A848ED" w:rsidP="00A848ED">
      <w:pPr>
        <w:pStyle w:val="NoSpacing"/>
        <w:rPr>
          <w:sz w:val="20"/>
          <w:szCs w:val="20"/>
        </w:rPr>
      </w:pPr>
      <w:r w:rsidRPr="00A848ED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What should a company do if it can’t make a </w:t>
      </w:r>
      <w:r w:rsidR="00556B52">
        <w:rPr>
          <w:sz w:val="20"/>
          <w:szCs w:val="20"/>
        </w:rPr>
        <w:t>reliable estimation of the contract outcome?</w:t>
      </w:r>
    </w:p>
    <w:p w14:paraId="645952C4" w14:textId="77777777" w:rsidR="00556B52" w:rsidRDefault="00556B52" w:rsidP="00A848ED">
      <w:pPr>
        <w:pStyle w:val="NoSpacing"/>
        <w:rPr>
          <w:sz w:val="20"/>
          <w:szCs w:val="20"/>
        </w:rPr>
      </w:pPr>
    </w:p>
    <w:p w14:paraId="60525D42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52D08444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246F15FF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6DB69A69" w14:textId="57060796" w:rsidR="00F65173" w:rsidRDefault="00FA41DF" w:rsidP="00A848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How are the gross amounts due to and from customers determined?</w:t>
      </w:r>
    </w:p>
    <w:p w14:paraId="377322AD" w14:textId="77777777" w:rsidR="00FA41DF" w:rsidRDefault="00FA41DF" w:rsidP="00A848ED">
      <w:pPr>
        <w:pStyle w:val="NoSpacing"/>
        <w:rPr>
          <w:sz w:val="20"/>
          <w:szCs w:val="20"/>
        </w:rPr>
      </w:pPr>
    </w:p>
    <w:p w14:paraId="54ABA3B0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57B37EC9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1C13DBC9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40E35DAD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6D8D7D67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6810C42A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664260E3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1B8BD84E" w14:textId="77777777" w:rsidR="00C41BB1" w:rsidRDefault="00C41BB1" w:rsidP="00A848ED">
      <w:pPr>
        <w:pStyle w:val="NoSpacing"/>
        <w:rPr>
          <w:sz w:val="20"/>
          <w:szCs w:val="20"/>
        </w:rPr>
      </w:pPr>
    </w:p>
    <w:p w14:paraId="6EF7192F" w14:textId="05A61B4B" w:rsidR="007A0151" w:rsidRDefault="007A0151" w:rsidP="007A01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D80F60">
        <w:rPr>
          <w:sz w:val="20"/>
          <w:szCs w:val="20"/>
        </w:rPr>
        <w:t xml:space="preserve">Under the percentage of completion method of accounting for construction contracts what alternative ways are </w:t>
      </w:r>
      <w:proofErr w:type="gramStart"/>
      <w:r w:rsidR="00D80F60">
        <w:rPr>
          <w:sz w:val="20"/>
          <w:szCs w:val="20"/>
        </w:rPr>
        <w:t>there</w:t>
      </w:r>
      <w:proofErr w:type="gramEnd"/>
      <w:r w:rsidR="00D80F60">
        <w:rPr>
          <w:sz w:val="20"/>
          <w:szCs w:val="20"/>
        </w:rPr>
        <w:t xml:space="preserve"> of determining the stage of completion?</w:t>
      </w:r>
    </w:p>
    <w:p w14:paraId="04F3523A" w14:textId="77777777" w:rsidR="00D80F60" w:rsidRDefault="00D80F60" w:rsidP="007A0151">
      <w:pPr>
        <w:pStyle w:val="NoSpacing"/>
        <w:rPr>
          <w:sz w:val="20"/>
          <w:szCs w:val="20"/>
        </w:rPr>
      </w:pPr>
    </w:p>
    <w:p w14:paraId="5071C3C4" w14:textId="77777777" w:rsidR="00D80F60" w:rsidRDefault="00D80F60" w:rsidP="007A0151">
      <w:pPr>
        <w:pStyle w:val="NoSpacing"/>
        <w:rPr>
          <w:sz w:val="20"/>
          <w:szCs w:val="20"/>
        </w:rPr>
      </w:pPr>
    </w:p>
    <w:p w14:paraId="2F4F3E3A" w14:textId="77777777" w:rsidR="00433C63" w:rsidRPr="00FA41DF" w:rsidRDefault="00433C63" w:rsidP="00433C63">
      <w:pPr>
        <w:pStyle w:val="NoSpacing"/>
        <w:rPr>
          <w:sz w:val="20"/>
          <w:szCs w:val="20"/>
        </w:rPr>
      </w:pPr>
    </w:p>
    <w:sectPr w:rsidR="00433C63" w:rsidRPr="00FA41DF" w:rsidSect="007B60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78B"/>
    <w:multiLevelType w:val="hybridMultilevel"/>
    <w:tmpl w:val="262E18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3308"/>
    <w:multiLevelType w:val="hybridMultilevel"/>
    <w:tmpl w:val="C0786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1F86"/>
    <w:multiLevelType w:val="hybridMultilevel"/>
    <w:tmpl w:val="C0786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6B70"/>
    <w:multiLevelType w:val="hybridMultilevel"/>
    <w:tmpl w:val="F4DAF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137C7"/>
    <w:multiLevelType w:val="hybridMultilevel"/>
    <w:tmpl w:val="17A0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971BE"/>
    <w:multiLevelType w:val="hybridMultilevel"/>
    <w:tmpl w:val="EB641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32"/>
    <w:rsid w:val="00276132"/>
    <w:rsid w:val="003F3976"/>
    <w:rsid w:val="00433C63"/>
    <w:rsid w:val="00556B52"/>
    <w:rsid w:val="006F20D2"/>
    <w:rsid w:val="00786608"/>
    <w:rsid w:val="007A0151"/>
    <w:rsid w:val="007B6093"/>
    <w:rsid w:val="00A00599"/>
    <w:rsid w:val="00A848ED"/>
    <w:rsid w:val="00C41BB1"/>
    <w:rsid w:val="00C765CC"/>
    <w:rsid w:val="00D614F5"/>
    <w:rsid w:val="00D80F60"/>
    <w:rsid w:val="00F65173"/>
    <w:rsid w:val="00F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6B4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093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09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1216</Characters>
  <Application>Microsoft Macintosh Word</Application>
  <DocSecurity>0</DocSecurity>
  <Lines>34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3</cp:revision>
  <dcterms:created xsi:type="dcterms:W3CDTF">2018-02-17T11:33:00Z</dcterms:created>
  <dcterms:modified xsi:type="dcterms:W3CDTF">2018-02-17T11:34:00Z</dcterms:modified>
</cp:coreProperties>
</file>