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90C16" w14:textId="77777777" w:rsidR="00E27A33" w:rsidRPr="00E27A33" w:rsidRDefault="00E27A33">
      <w:pPr>
        <w:rPr>
          <w:b/>
        </w:rPr>
      </w:pPr>
      <w:r w:rsidRPr="00E27A33">
        <w:rPr>
          <w:b/>
        </w:rPr>
        <w:t>EXERCISE RECONCILIATION OF TAX CHARGE</w:t>
      </w:r>
    </w:p>
    <w:p w14:paraId="26219756" w14:textId="77777777" w:rsidR="00E27A33" w:rsidRDefault="00E27A33"/>
    <w:p w14:paraId="71B79515" w14:textId="77777777" w:rsidR="00E27A33" w:rsidRDefault="00E27A33">
      <w:r>
        <w:t>Manic Srl’s consolidated financial statements for the year ended 31.12.201X report the following:</w:t>
      </w:r>
    </w:p>
    <w:p w14:paraId="2ADF347A" w14:textId="77777777" w:rsidR="00E27A33" w:rsidRDefault="00E27A33">
      <w:r>
        <w:tab/>
      </w:r>
      <w:r>
        <w:tab/>
      </w:r>
      <w:r>
        <w:tab/>
      </w:r>
      <w:r>
        <w:tab/>
      </w:r>
      <w:r>
        <w:tab/>
      </w:r>
      <w:r>
        <w:tab/>
        <w:t>€</w:t>
      </w:r>
    </w:p>
    <w:p w14:paraId="4FECEAE3" w14:textId="77777777" w:rsidR="00E27A33" w:rsidRDefault="00E27A33" w:rsidP="00E27A33">
      <w:pPr>
        <w:tabs>
          <w:tab w:val="right" w:pos="4962"/>
        </w:tabs>
      </w:pPr>
      <w:r>
        <w:t>Income before taxes</w:t>
      </w:r>
      <w:r>
        <w:tab/>
        <w:t>5,000,000</w:t>
      </w:r>
    </w:p>
    <w:p w14:paraId="4EFBD3A4" w14:textId="77777777" w:rsidR="00E27A33" w:rsidRPr="00E27A33" w:rsidRDefault="00E27A33" w:rsidP="00E27A33">
      <w:pPr>
        <w:tabs>
          <w:tab w:val="right" w:pos="4962"/>
        </w:tabs>
        <w:rPr>
          <w:u w:val="single"/>
        </w:rPr>
      </w:pPr>
      <w:r>
        <w:t>Income taxes</w:t>
      </w:r>
      <w:r>
        <w:tab/>
      </w:r>
      <w:r w:rsidRPr="00E27A33">
        <w:rPr>
          <w:u w:val="single"/>
        </w:rPr>
        <w:t>(2,000,000)</w:t>
      </w:r>
    </w:p>
    <w:p w14:paraId="2DF317DE" w14:textId="77777777" w:rsidR="00E27A33" w:rsidRDefault="00E27A33" w:rsidP="00E27A33">
      <w:pPr>
        <w:tabs>
          <w:tab w:val="right" w:pos="4962"/>
        </w:tabs>
      </w:pPr>
      <w:r>
        <w:t>Net income</w:t>
      </w:r>
      <w:r>
        <w:tab/>
        <w:t>3,000,000</w:t>
      </w:r>
    </w:p>
    <w:p w14:paraId="61E75898" w14:textId="77777777" w:rsidR="00E27A33" w:rsidRDefault="00E27A33"/>
    <w:p w14:paraId="033E9ADC" w14:textId="77777777" w:rsidR="00E27A33" w:rsidRDefault="00E27A33">
      <w:r>
        <w:t xml:space="preserve">The statutory tax rate is 20%. </w:t>
      </w:r>
    </w:p>
    <w:p w14:paraId="13C7A305" w14:textId="77777777" w:rsidR="00E27A33" w:rsidRDefault="00E27A33"/>
    <w:p w14:paraId="6CC5BA07" w14:textId="77777777" w:rsidR="00E27A33" w:rsidRDefault="00E27A33">
      <w:r>
        <w:t>The following additional information is available:</w:t>
      </w:r>
    </w:p>
    <w:p w14:paraId="787E8CC2" w14:textId="77777777" w:rsidR="00E27A33" w:rsidRDefault="00E27A33"/>
    <w:p w14:paraId="29EAF62C" w14:textId="77777777" w:rsidR="00E27A33" w:rsidRDefault="00E42279">
      <w:r>
        <w:t xml:space="preserve">1. </w:t>
      </w:r>
      <w:r w:rsidR="00E27A33">
        <w:t>The tax rates in certain countries in which subsidiaries are located differ from the statutory tax rate as follows together with the amounts of income before taxes included in the consolidated financial statements:</w:t>
      </w:r>
    </w:p>
    <w:p w14:paraId="35F2CE07" w14:textId="77777777" w:rsidR="00E27A33" w:rsidRDefault="00E27A33"/>
    <w:p w14:paraId="3ED6A66E" w14:textId="77777777" w:rsidR="00E27A33" w:rsidRDefault="00E27A33">
      <w:r>
        <w:t>Country</w:t>
      </w:r>
      <w:r>
        <w:tab/>
        <w:t>Pre-tax income</w:t>
      </w:r>
      <w:r>
        <w:tab/>
        <w:t>Tax rate</w:t>
      </w:r>
    </w:p>
    <w:p w14:paraId="4BBB932A" w14:textId="77777777" w:rsidR="00E27A33" w:rsidRDefault="00E27A33"/>
    <w:p w14:paraId="76099DDA" w14:textId="77777777" w:rsidR="00E27A33" w:rsidRDefault="00E27A33" w:rsidP="00E27A33">
      <w:pPr>
        <w:tabs>
          <w:tab w:val="right" w:pos="2835"/>
          <w:tab w:val="right" w:pos="4253"/>
        </w:tabs>
      </w:pPr>
      <w:r>
        <w:t>A</w:t>
      </w:r>
      <w:r>
        <w:tab/>
      </w:r>
      <w:r w:rsidR="00E42279">
        <w:t>1,</w:t>
      </w:r>
      <w:r>
        <w:t>500,000</w:t>
      </w:r>
      <w:r>
        <w:tab/>
        <w:t>40%</w:t>
      </w:r>
    </w:p>
    <w:p w14:paraId="69F9AE1A" w14:textId="77777777" w:rsidR="00E27A33" w:rsidRDefault="00E27A33" w:rsidP="00E27A33">
      <w:pPr>
        <w:tabs>
          <w:tab w:val="right" w:pos="2835"/>
          <w:tab w:val="right" w:pos="4253"/>
        </w:tabs>
      </w:pPr>
      <w:r>
        <w:t>B</w:t>
      </w:r>
      <w:r>
        <w:tab/>
        <w:t>1,000,000</w:t>
      </w:r>
      <w:r>
        <w:tab/>
        <w:t>25%</w:t>
      </w:r>
    </w:p>
    <w:p w14:paraId="2A9909AB" w14:textId="77777777" w:rsidR="00E27A33" w:rsidRDefault="00E27A33" w:rsidP="00E27A33">
      <w:pPr>
        <w:tabs>
          <w:tab w:val="right" w:pos="2835"/>
          <w:tab w:val="right" w:pos="4253"/>
        </w:tabs>
      </w:pPr>
      <w:r>
        <w:t>C</w:t>
      </w:r>
      <w:r>
        <w:tab/>
        <w:t>250,000</w:t>
      </w:r>
      <w:r>
        <w:tab/>
        <w:t>15%</w:t>
      </w:r>
    </w:p>
    <w:p w14:paraId="4C14A004" w14:textId="77777777" w:rsidR="00E27A33" w:rsidRDefault="00E27A33" w:rsidP="00E27A33">
      <w:pPr>
        <w:tabs>
          <w:tab w:val="right" w:pos="2835"/>
          <w:tab w:val="right" w:pos="4253"/>
        </w:tabs>
      </w:pPr>
      <w:r>
        <w:t>D</w:t>
      </w:r>
      <w:r>
        <w:tab/>
        <w:t>750,000</w:t>
      </w:r>
      <w:r>
        <w:tab/>
        <w:t>35%</w:t>
      </w:r>
      <w:r>
        <w:tab/>
      </w:r>
    </w:p>
    <w:p w14:paraId="4E4B8A73" w14:textId="77777777" w:rsidR="00E42279" w:rsidRDefault="00E42279" w:rsidP="00E27A33">
      <w:pPr>
        <w:tabs>
          <w:tab w:val="right" w:pos="2835"/>
          <w:tab w:val="right" w:pos="4253"/>
        </w:tabs>
      </w:pPr>
    </w:p>
    <w:p w14:paraId="430B452E" w14:textId="77777777" w:rsidR="00E42279" w:rsidRDefault="00E42279" w:rsidP="00E27A33">
      <w:pPr>
        <w:tabs>
          <w:tab w:val="right" w:pos="2835"/>
          <w:tab w:val="right" w:pos="4253"/>
        </w:tabs>
      </w:pPr>
      <w:r>
        <w:t>2. Certain subsidiaries incurred losses during the year amounting to €2,000,000 for which no deferred tax assets have been recorded due to insufficient evidence of future taxable income or taxable temporary differences.</w:t>
      </w:r>
    </w:p>
    <w:p w14:paraId="2269C2AA" w14:textId="77777777" w:rsidR="00E42279" w:rsidRDefault="00E42279" w:rsidP="00E27A33">
      <w:pPr>
        <w:tabs>
          <w:tab w:val="right" w:pos="2835"/>
          <w:tab w:val="right" w:pos="4253"/>
        </w:tabs>
      </w:pPr>
    </w:p>
    <w:p w14:paraId="4E5DBC23" w14:textId="11829FF0" w:rsidR="00756D5A" w:rsidRDefault="00E42279" w:rsidP="00E27A33">
      <w:pPr>
        <w:tabs>
          <w:tab w:val="right" w:pos="2835"/>
          <w:tab w:val="right" w:pos="4253"/>
        </w:tabs>
      </w:pPr>
      <w:r>
        <w:t xml:space="preserve">3. </w:t>
      </w:r>
      <w:r w:rsidR="00910E1D">
        <w:t xml:space="preserve">At the start of the year Country E had recorded deferred tax assets in respect of previous years’ tax losses </w:t>
      </w:r>
      <w:r w:rsidR="00A24379">
        <w:t>amounting to €312,5</w:t>
      </w:r>
      <w:r w:rsidR="00756D5A">
        <w:t xml:space="preserve">00 </w:t>
      </w:r>
      <w:r w:rsidR="00910E1D">
        <w:t>which it had estimated would have been deductible against future profits.</w:t>
      </w:r>
      <w:r w:rsidR="00756D5A">
        <w:t xml:space="preserve"> </w:t>
      </w:r>
      <w:r w:rsidR="00910E1D">
        <w:t xml:space="preserve">In </w:t>
      </w:r>
      <w:r w:rsidR="00756D5A">
        <w:t>the light of</w:t>
      </w:r>
      <w:r w:rsidR="00910E1D">
        <w:t xml:space="preserve"> of continuing losses in 201X </w:t>
      </w:r>
      <w:r w:rsidR="00756D5A">
        <w:t>in Country E the company</w:t>
      </w:r>
      <w:r w:rsidR="00910E1D">
        <w:t xml:space="preserve"> revised</w:t>
      </w:r>
      <w:r w:rsidR="00756D5A">
        <w:t xml:space="preserve"> its assessment of their recoverability and wrote these off. The tax rate on country E is 40%.</w:t>
      </w:r>
    </w:p>
    <w:p w14:paraId="7D077662" w14:textId="77777777" w:rsidR="00756D5A" w:rsidRDefault="00756D5A" w:rsidP="00E27A33">
      <w:pPr>
        <w:tabs>
          <w:tab w:val="right" w:pos="2835"/>
          <w:tab w:val="right" w:pos="4253"/>
        </w:tabs>
      </w:pPr>
    </w:p>
    <w:p w14:paraId="22558E7B" w14:textId="77777777" w:rsidR="00E42279" w:rsidRDefault="00756D5A" w:rsidP="00E27A33">
      <w:pPr>
        <w:tabs>
          <w:tab w:val="right" w:pos="2835"/>
          <w:tab w:val="right" w:pos="4253"/>
        </w:tabs>
      </w:pPr>
      <w:r>
        <w:t>4. Manic Srl incurred expenses during the course of 201X in respect of fines, penalties, political contributions amounting to €125,000 that were not allowable deductions under the tax laws.</w:t>
      </w:r>
      <w:r w:rsidR="00910E1D">
        <w:t xml:space="preserve"> </w:t>
      </w:r>
    </w:p>
    <w:p w14:paraId="4747C858" w14:textId="77777777" w:rsidR="00E27A33" w:rsidRDefault="00E27A33" w:rsidP="00E27A33">
      <w:pPr>
        <w:tabs>
          <w:tab w:val="right" w:pos="2835"/>
          <w:tab w:val="right" w:pos="4253"/>
        </w:tabs>
      </w:pPr>
    </w:p>
    <w:p w14:paraId="27DDB2A2" w14:textId="77777777" w:rsidR="00756D5A" w:rsidRPr="00756D5A" w:rsidRDefault="00756D5A" w:rsidP="00E27A33">
      <w:pPr>
        <w:tabs>
          <w:tab w:val="right" w:pos="2835"/>
          <w:tab w:val="right" w:pos="4253"/>
        </w:tabs>
        <w:rPr>
          <w:b/>
        </w:rPr>
      </w:pPr>
      <w:r w:rsidRPr="00756D5A">
        <w:rPr>
          <w:b/>
        </w:rPr>
        <w:t>Required:</w:t>
      </w:r>
    </w:p>
    <w:p w14:paraId="7F1AC272" w14:textId="77777777" w:rsidR="00756D5A" w:rsidRDefault="00756D5A" w:rsidP="00E27A33">
      <w:pPr>
        <w:tabs>
          <w:tab w:val="right" w:pos="2835"/>
          <w:tab w:val="right" w:pos="4253"/>
        </w:tabs>
      </w:pPr>
    </w:p>
    <w:p w14:paraId="40A28833" w14:textId="77777777" w:rsidR="00756D5A" w:rsidRDefault="00756D5A" w:rsidP="00E27A33">
      <w:pPr>
        <w:tabs>
          <w:tab w:val="right" w:pos="2835"/>
          <w:tab w:val="right" w:pos="4253"/>
        </w:tabs>
      </w:pPr>
      <w:r>
        <w:t>Prepare a reconciliation of the effective tax rate to the statutory tax rate.</w:t>
      </w:r>
    </w:p>
    <w:p w14:paraId="364FDEE0" w14:textId="617588E1" w:rsidR="00726787" w:rsidRDefault="00726787">
      <w:r>
        <w:br w:type="page"/>
      </w:r>
    </w:p>
    <w:p w14:paraId="0EB4C28C" w14:textId="1014C575" w:rsidR="00921826" w:rsidRPr="003C5DF6" w:rsidRDefault="00921826" w:rsidP="00726787">
      <w:pPr>
        <w:tabs>
          <w:tab w:val="right" w:pos="3969"/>
          <w:tab w:val="right" w:pos="6096"/>
          <w:tab w:val="right" w:pos="7797"/>
        </w:tabs>
        <w:rPr>
          <w:b/>
          <w:color w:val="3366FF"/>
        </w:rPr>
      </w:pPr>
      <w:r w:rsidRPr="003C5DF6">
        <w:rPr>
          <w:b/>
          <w:color w:val="3366FF"/>
        </w:rPr>
        <w:lastRenderedPageBreak/>
        <w:t>Solution</w:t>
      </w:r>
    </w:p>
    <w:p w14:paraId="367DB851" w14:textId="77777777" w:rsidR="00921826" w:rsidRPr="003C5DF6" w:rsidRDefault="00921826" w:rsidP="00726787">
      <w:pPr>
        <w:tabs>
          <w:tab w:val="right" w:pos="3969"/>
          <w:tab w:val="right" w:pos="6096"/>
          <w:tab w:val="right" w:pos="7797"/>
        </w:tabs>
        <w:rPr>
          <w:color w:val="3366FF"/>
        </w:rPr>
      </w:pPr>
    </w:p>
    <w:p w14:paraId="47983D8A" w14:textId="77777777" w:rsidR="00921826" w:rsidRPr="003C5DF6" w:rsidRDefault="00921826" w:rsidP="00726787">
      <w:pPr>
        <w:tabs>
          <w:tab w:val="right" w:pos="3969"/>
          <w:tab w:val="right" w:pos="6096"/>
          <w:tab w:val="right" w:pos="7797"/>
        </w:tabs>
        <w:rPr>
          <w:color w:val="3366FF"/>
        </w:rPr>
      </w:pPr>
    </w:p>
    <w:p w14:paraId="751111A0" w14:textId="43F04C8D" w:rsidR="00E27A33" w:rsidRPr="003C5DF6" w:rsidRDefault="00726787" w:rsidP="00726787">
      <w:pPr>
        <w:tabs>
          <w:tab w:val="right" w:pos="3969"/>
          <w:tab w:val="right" w:pos="6096"/>
          <w:tab w:val="right" w:pos="7797"/>
        </w:tabs>
        <w:rPr>
          <w:b/>
          <w:color w:val="3366FF"/>
        </w:rPr>
      </w:pPr>
      <w:r w:rsidRPr="003C5DF6">
        <w:rPr>
          <w:b/>
          <w:color w:val="3366FF"/>
        </w:rPr>
        <w:t xml:space="preserve">Tax at statutory rate </w:t>
      </w:r>
      <w:r w:rsidRPr="003C5DF6">
        <w:rPr>
          <w:b/>
          <w:color w:val="3366FF"/>
        </w:rPr>
        <w:tab/>
        <w:t>5,000,000</w:t>
      </w:r>
      <w:r w:rsidRPr="003C5DF6">
        <w:rPr>
          <w:b/>
          <w:color w:val="3366FF"/>
        </w:rPr>
        <w:tab/>
        <w:t>1,000,000</w:t>
      </w:r>
      <w:r w:rsidRPr="003C5DF6">
        <w:rPr>
          <w:b/>
          <w:color w:val="3366FF"/>
        </w:rPr>
        <w:tab/>
        <w:t>20%</w:t>
      </w:r>
    </w:p>
    <w:p w14:paraId="220F13DE" w14:textId="77777777" w:rsidR="00726787" w:rsidRPr="003C5DF6" w:rsidRDefault="00726787" w:rsidP="00726787">
      <w:pPr>
        <w:tabs>
          <w:tab w:val="right" w:pos="3969"/>
          <w:tab w:val="right" w:pos="6096"/>
          <w:tab w:val="right" w:pos="7797"/>
        </w:tabs>
        <w:rPr>
          <w:color w:val="3366FF"/>
        </w:rPr>
      </w:pPr>
    </w:p>
    <w:p w14:paraId="3779E831" w14:textId="5C29FC3C" w:rsidR="00726787" w:rsidRPr="003C5DF6" w:rsidRDefault="00726787" w:rsidP="00726787">
      <w:pPr>
        <w:tabs>
          <w:tab w:val="right" w:pos="3969"/>
          <w:tab w:val="right" w:pos="6096"/>
          <w:tab w:val="right" w:pos="7797"/>
        </w:tabs>
        <w:rPr>
          <w:color w:val="3366FF"/>
        </w:rPr>
      </w:pPr>
      <w:r w:rsidRPr="003C5DF6">
        <w:rPr>
          <w:color w:val="3366FF"/>
        </w:rPr>
        <w:t>Ef</w:t>
      </w:r>
      <w:r w:rsidR="00A24379">
        <w:rPr>
          <w:color w:val="3366FF"/>
        </w:rPr>
        <w:t>fect of different tax rates</w:t>
      </w:r>
      <w:r w:rsidR="00A24379">
        <w:rPr>
          <w:color w:val="3366FF"/>
        </w:rPr>
        <w:tab/>
      </w:r>
      <w:r w:rsidR="00A24379">
        <w:rPr>
          <w:color w:val="3366FF"/>
        </w:rPr>
        <w:tab/>
        <w:t>450,000</w:t>
      </w:r>
      <w:r w:rsidR="00A24379">
        <w:rPr>
          <w:color w:val="3366FF"/>
        </w:rPr>
        <w:tab/>
        <w:t>9.0</w:t>
      </w:r>
      <w:r w:rsidRPr="003C5DF6">
        <w:rPr>
          <w:color w:val="3366FF"/>
        </w:rPr>
        <w:t>%</w:t>
      </w:r>
    </w:p>
    <w:p w14:paraId="5ACD70A6" w14:textId="77777777" w:rsidR="00726787" w:rsidRPr="003C5DF6" w:rsidRDefault="00726787" w:rsidP="00726787">
      <w:pPr>
        <w:tabs>
          <w:tab w:val="right" w:pos="3969"/>
          <w:tab w:val="right" w:pos="6096"/>
          <w:tab w:val="right" w:pos="7797"/>
        </w:tabs>
        <w:rPr>
          <w:color w:val="3366FF"/>
        </w:rPr>
      </w:pPr>
    </w:p>
    <w:p w14:paraId="18517FC3" w14:textId="66374097" w:rsidR="00726787" w:rsidRPr="003C5DF6" w:rsidRDefault="00726787" w:rsidP="00726787">
      <w:pPr>
        <w:tabs>
          <w:tab w:val="right" w:pos="3969"/>
          <w:tab w:val="right" w:pos="6096"/>
          <w:tab w:val="right" w:pos="7797"/>
        </w:tabs>
        <w:rPr>
          <w:color w:val="3366FF"/>
        </w:rPr>
      </w:pPr>
      <w:r w:rsidRPr="003C5DF6">
        <w:rPr>
          <w:color w:val="3366FF"/>
        </w:rPr>
        <w:t>DTAs not recognized on tax losses</w:t>
      </w:r>
      <w:r w:rsidRPr="003C5DF6">
        <w:rPr>
          <w:color w:val="3366FF"/>
        </w:rPr>
        <w:tab/>
      </w:r>
      <w:r w:rsidRPr="003C5DF6">
        <w:rPr>
          <w:color w:val="3366FF"/>
        </w:rPr>
        <w:tab/>
        <w:t>400,000</w:t>
      </w:r>
      <w:r w:rsidRPr="003C5DF6">
        <w:rPr>
          <w:color w:val="3366FF"/>
        </w:rPr>
        <w:tab/>
        <w:t>8</w:t>
      </w:r>
      <w:r w:rsidR="00A24379">
        <w:rPr>
          <w:color w:val="3366FF"/>
        </w:rPr>
        <w:t>.0</w:t>
      </w:r>
      <w:bookmarkStart w:id="0" w:name="_GoBack"/>
      <w:bookmarkEnd w:id="0"/>
      <w:r w:rsidRPr="003C5DF6">
        <w:rPr>
          <w:color w:val="3366FF"/>
        </w:rPr>
        <w:t>%</w:t>
      </w:r>
    </w:p>
    <w:p w14:paraId="3737713F" w14:textId="65004A89" w:rsidR="00921826" w:rsidRPr="003C5DF6" w:rsidRDefault="00921826" w:rsidP="00726787">
      <w:pPr>
        <w:tabs>
          <w:tab w:val="right" w:pos="3969"/>
          <w:tab w:val="right" w:pos="6096"/>
          <w:tab w:val="right" w:pos="7797"/>
        </w:tabs>
        <w:rPr>
          <w:color w:val="3366FF"/>
        </w:rPr>
      </w:pPr>
      <w:r w:rsidRPr="003C5DF6">
        <w:rPr>
          <w:color w:val="3366FF"/>
        </w:rPr>
        <w:t>(€2,000,000 @ 20%)</w:t>
      </w:r>
    </w:p>
    <w:p w14:paraId="7A76FCC8" w14:textId="77777777" w:rsidR="00726787" w:rsidRPr="003C5DF6" w:rsidRDefault="00726787" w:rsidP="00726787">
      <w:pPr>
        <w:tabs>
          <w:tab w:val="right" w:pos="3969"/>
          <w:tab w:val="right" w:pos="6096"/>
          <w:tab w:val="right" w:pos="7797"/>
        </w:tabs>
        <w:rPr>
          <w:color w:val="3366FF"/>
        </w:rPr>
      </w:pPr>
    </w:p>
    <w:p w14:paraId="57386301" w14:textId="77777777" w:rsidR="00921826" w:rsidRPr="003C5DF6" w:rsidRDefault="00726787" w:rsidP="00726787">
      <w:pPr>
        <w:tabs>
          <w:tab w:val="right" w:pos="3969"/>
          <w:tab w:val="right" w:pos="6096"/>
          <w:tab w:val="right" w:pos="7797"/>
        </w:tabs>
        <w:rPr>
          <w:color w:val="3366FF"/>
        </w:rPr>
      </w:pPr>
      <w:r w:rsidRPr="003C5DF6">
        <w:rPr>
          <w:color w:val="3366FF"/>
        </w:rPr>
        <w:t>Write-off of DTAs</w:t>
      </w:r>
    </w:p>
    <w:p w14:paraId="5FA14BC4" w14:textId="107150D9" w:rsidR="00726787" w:rsidRPr="003C5DF6" w:rsidRDefault="00A24379" w:rsidP="00726787">
      <w:pPr>
        <w:tabs>
          <w:tab w:val="right" w:pos="3969"/>
          <w:tab w:val="right" w:pos="6096"/>
          <w:tab w:val="right" w:pos="7797"/>
        </w:tabs>
        <w:rPr>
          <w:color w:val="3366FF"/>
        </w:rPr>
      </w:pPr>
      <w:r>
        <w:rPr>
          <w:color w:val="3366FF"/>
        </w:rPr>
        <w:t>(€312,5</w:t>
      </w:r>
      <w:r w:rsidR="00921826" w:rsidRPr="003C5DF6">
        <w:rPr>
          <w:color w:val="3366FF"/>
        </w:rPr>
        <w:t>00 @ 40%)</w:t>
      </w:r>
      <w:r>
        <w:rPr>
          <w:color w:val="3366FF"/>
        </w:rPr>
        <w:tab/>
      </w:r>
      <w:r>
        <w:rPr>
          <w:color w:val="3366FF"/>
        </w:rPr>
        <w:tab/>
        <w:t>125,000</w:t>
      </w:r>
      <w:r>
        <w:rPr>
          <w:color w:val="3366FF"/>
        </w:rPr>
        <w:tab/>
        <w:t>12.5</w:t>
      </w:r>
      <w:r w:rsidR="00726787" w:rsidRPr="003C5DF6">
        <w:rPr>
          <w:color w:val="3366FF"/>
        </w:rPr>
        <w:t>%</w:t>
      </w:r>
    </w:p>
    <w:p w14:paraId="49E48827" w14:textId="77777777" w:rsidR="00726787" w:rsidRPr="003C5DF6" w:rsidRDefault="00726787" w:rsidP="00726787">
      <w:pPr>
        <w:tabs>
          <w:tab w:val="right" w:pos="3969"/>
          <w:tab w:val="right" w:pos="6096"/>
          <w:tab w:val="right" w:pos="7797"/>
        </w:tabs>
        <w:rPr>
          <w:color w:val="3366FF"/>
        </w:rPr>
      </w:pPr>
    </w:p>
    <w:p w14:paraId="6E93B29B" w14:textId="77777777" w:rsidR="00921826" w:rsidRPr="003C5DF6" w:rsidRDefault="00726787" w:rsidP="00726787">
      <w:pPr>
        <w:tabs>
          <w:tab w:val="right" w:pos="3969"/>
          <w:tab w:val="right" w:pos="6096"/>
          <w:tab w:val="right" w:pos="7797"/>
        </w:tabs>
        <w:rPr>
          <w:color w:val="3366FF"/>
        </w:rPr>
      </w:pPr>
      <w:r w:rsidRPr="003C5DF6">
        <w:rPr>
          <w:color w:val="3366FF"/>
        </w:rPr>
        <w:t>Disallowed expenses</w:t>
      </w:r>
    </w:p>
    <w:p w14:paraId="6B2EDB00" w14:textId="7D809E5F" w:rsidR="00726787" w:rsidRPr="003C5DF6" w:rsidRDefault="00921826" w:rsidP="00726787">
      <w:pPr>
        <w:tabs>
          <w:tab w:val="right" w:pos="3969"/>
          <w:tab w:val="right" w:pos="6096"/>
          <w:tab w:val="right" w:pos="7797"/>
        </w:tabs>
        <w:rPr>
          <w:color w:val="3366FF"/>
        </w:rPr>
      </w:pPr>
      <w:r w:rsidRPr="003C5DF6">
        <w:rPr>
          <w:color w:val="3366FF"/>
        </w:rPr>
        <w:t>(€125,000 @ 20%)</w:t>
      </w:r>
      <w:r w:rsidR="00726787" w:rsidRPr="003C5DF6">
        <w:rPr>
          <w:color w:val="3366FF"/>
        </w:rPr>
        <w:tab/>
      </w:r>
      <w:r w:rsidR="00726787" w:rsidRPr="003C5DF6">
        <w:rPr>
          <w:color w:val="3366FF"/>
        </w:rPr>
        <w:tab/>
        <w:t>25,000</w:t>
      </w:r>
      <w:r w:rsidR="00726787" w:rsidRPr="003C5DF6">
        <w:rPr>
          <w:color w:val="3366FF"/>
        </w:rPr>
        <w:tab/>
        <w:t>0.5%</w:t>
      </w:r>
    </w:p>
    <w:p w14:paraId="7F948768" w14:textId="5E020633" w:rsidR="00726787" w:rsidRPr="003C5DF6" w:rsidRDefault="00921826" w:rsidP="00726787">
      <w:pPr>
        <w:tabs>
          <w:tab w:val="right" w:pos="3969"/>
          <w:tab w:val="right" w:pos="6096"/>
          <w:tab w:val="right" w:pos="7797"/>
        </w:tabs>
        <w:rPr>
          <w:color w:val="3366FF"/>
        </w:rPr>
      </w:pPr>
      <w:r w:rsidRPr="003C5DF6">
        <w:rPr>
          <w:color w:val="3366FF"/>
        </w:rPr>
        <w:tab/>
      </w:r>
      <w:r w:rsidRPr="003C5DF6">
        <w:rPr>
          <w:color w:val="3366FF"/>
        </w:rPr>
        <w:tab/>
        <w:t>________</w:t>
      </w:r>
      <w:r w:rsidRPr="003C5DF6">
        <w:rPr>
          <w:color w:val="3366FF"/>
        </w:rPr>
        <w:tab/>
        <w:t>____</w:t>
      </w:r>
    </w:p>
    <w:p w14:paraId="3E663C05" w14:textId="1FFE2591" w:rsidR="00726787" w:rsidRPr="003C5DF6" w:rsidRDefault="00485F9E" w:rsidP="00726787">
      <w:pPr>
        <w:tabs>
          <w:tab w:val="right" w:pos="3969"/>
          <w:tab w:val="right" w:pos="6096"/>
          <w:tab w:val="right" w:pos="7797"/>
        </w:tabs>
        <w:rPr>
          <w:b/>
          <w:color w:val="3366FF"/>
        </w:rPr>
      </w:pPr>
      <w:r w:rsidRPr="003C5DF6">
        <w:rPr>
          <w:b/>
          <w:color w:val="3366FF"/>
        </w:rPr>
        <w:t>Effective tax rate</w:t>
      </w:r>
      <w:r w:rsidR="00726787" w:rsidRPr="003C5DF6">
        <w:rPr>
          <w:b/>
          <w:color w:val="3366FF"/>
        </w:rPr>
        <w:tab/>
        <w:t>5,000,000</w:t>
      </w:r>
      <w:r w:rsidR="00726787" w:rsidRPr="003C5DF6">
        <w:rPr>
          <w:b/>
          <w:color w:val="3366FF"/>
        </w:rPr>
        <w:tab/>
        <w:t>2,000,000</w:t>
      </w:r>
      <w:r w:rsidR="00726787" w:rsidRPr="003C5DF6">
        <w:rPr>
          <w:b/>
          <w:color w:val="3366FF"/>
        </w:rPr>
        <w:tab/>
        <w:t>40%</w:t>
      </w:r>
    </w:p>
    <w:p w14:paraId="039077BA" w14:textId="77777777" w:rsidR="00921826" w:rsidRPr="003C5DF6" w:rsidRDefault="00921826" w:rsidP="00726787">
      <w:pPr>
        <w:tabs>
          <w:tab w:val="right" w:pos="3969"/>
          <w:tab w:val="right" w:pos="6096"/>
          <w:tab w:val="right" w:pos="7797"/>
        </w:tabs>
        <w:rPr>
          <w:color w:val="3366FF"/>
        </w:rPr>
      </w:pPr>
    </w:p>
    <w:p w14:paraId="584DD3BD" w14:textId="77777777" w:rsidR="00921826" w:rsidRPr="003C5DF6" w:rsidRDefault="00921826" w:rsidP="00726787">
      <w:pPr>
        <w:tabs>
          <w:tab w:val="right" w:pos="3969"/>
          <w:tab w:val="right" w:pos="6096"/>
          <w:tab w:val="right" w:pos="7797"/>
        </w:tabs>
        <w:rPr>
          <w:color w:val="3366FF"/>
        </w:rPr>
      </w:pPr>
    </w:p>
    <w:p w14:paraId="73195C4A" w14:textId="77777777" w:rsidR="00726787" w:rsidRPr="003C5DF6" w:rsidRDefault="00726787" w:rsidP="00726787">
      <w:pPr>
        <w:tabs>
          <w:tab w:val="right" w:pos="3969"/>
          <w:tab w:val="right" w:pos="6096"/>
          <w:tab w:val="right" w:pos="7797"/>
        </w:tabs>
        <w:rPr>
          <w:color w:val="3366FF"/>
        </w:rPr>
      </w:pPr>
    </w:p>
    <w:p w14:paraId="07E7DEAB" w14:textId="4FE59FFC" w:rsidR="00921826" w:rsidRPr="003C5DF6" w:rsidRDefault="00921826" w:rsidP="00726787">
      <w:pPr>
        <w:tabs>
          <w:tab w:val="right" w:pos="3969"/>
          <w:tab w:val="right" w:pos="6096"/>
          <w:tab w:val="right" w:pos="7797"/>
        </w:tabs>
        <w:rPr>
          <w:color w:val="3366FF"/>
        </w:rPr>
      </w:pPr>
      <w:r w:rsidRPr="003C5DF6">
        <w:rPr>
          <w:color w:val="3366FF"/>
        </w:rPr>
        <w:t>Effect of different tax rates</w:t>
      </w:r>
    </w:p>
    <w:p w14:paraId="3CC0EA34" w14:textId="77777777" w:rsidR="00921826" w:rsidRPr="003C5DF6" w:rsidRDefault="00921826" w:rsidP="00726787">
      <w:pPr>
        <w:tabs>
          <w:tab w:val="right" w:pos="3969"/>
          <w:tab w:val="right" w:pos="6096"/>
          <w:tab w:val="right" w:pos="7797"/>
        </w:tabs>
        <w:rPr>
          <w:color w:val="3366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03"/>
        <w:gridCol w:w="1703"/>
        <w:gridCol w:w="1703"/>
        <w:gridCol w:w="1704"/>
      </w:tblGrid>
      <w:tr w:rsidR="00921826" w:rsidRPr="003C5DF6" w14:paraId="383D45E1" w14:textId="77777777" w:rsidTr="00921826">
        <w:tc>
          <w:tcPr>
            <w:tcW w:w="1703" w:type="dxa"/>
          </w:tcPr>
          <w:p w14:paraId="1C3A1CD9" w14:textId="77777777" w:rsidR="00921826" w:rsidRPr="003C5DF6" w:rsidRDefault="00921826" w:rsidP="00726787">
            <w:pPr>
              <w:tabs>
                <w:tab w:val="right" w:pos="3969"/>
                <w:tab w:val="right" w:pos="6096"/>
                <w:tab w:val="right" w:pos="7797"/>
              </w:tabs>
              <w:rPr>
                <w:color w:val="3366FF"/>
              </w:rPr>
            </w:pPr>
          </w:p>
        </w:tc>
        <w:tc>
          <w:tcPr>
            <w:tcW w:w="1703" w:type="dxa"/>
          </w:tcPr>
          <w:p w14:paraId="7C716581" w14:textId="4DB8AF62" w:rsidR="00921826" w:rsidRPr="003C5DF6" w:rsidRDefault="00921826" w:rsidP="00921826">
            <w:pPr>
              <w:tabs>
                <w:tab w:val="right" w:pos="3969"/>
                <w:tab w:val="right" w:pos="6096"/>
                <w:tab w:val="right" w:pos="7797"/>
              </w:tabs>
              <w:jc w:val="right"/>
              <w:rPr>
                <w:color w:val="3366FF"/>
              </w:rPr>
            </w:pPr>
            <w:r w:rsidRPr="003C5DF6">
              <w:rPr>
                <w:color w:val="3366FF"/>
              </w:rPr>
              <w:t>Pre-Tax Income</w:t>
            </w:r>
          </w:p>
        </w:tc>
        <w:tc>
          <w:tcPr>
            <w:tcW w:w="1703" w:type="dxa"/>
          </w:tcPr>
          <w:p w14:paraId="254FFA4E" w14:textId="412D3012" w:rsidR="00921826" w:rsidRPr="003C5DF6" w:rsidRDefault="00921826" w:rsidP="00726787">
            <w:pPr>
              <w:tabs>
                <w:tab w:val="right" w:pos="3969"/>
                <w:tab w:val="right" w:pos="6096"/>
                <w:tab w:val="right" w:pos="7797"/>
              </w:tabs>
              <w:rPr>
                <w:color w:val="3366FF"/>
              </w:rPr>
            </w:pPr>
            <w:r w:rsidRPr="003C5DF6">
              <w:rPr>
                <w:color w:val="3366FF"/>
              </w:rPr>
              <w:t>Tax rate</w:t>
            </w:r>
          </w:p>
        </w:tc>
        <w:tc>
          <w:tcPr>
            <w:tcW w:w="1703" w:type="dxa"/>
          </w:tcPr>
          <w:p w14:paraId="0842404E" w14:textId="61BF2925" w:rsidR="00921826" w:rsidRPr="003C5DF6" w:rsidRDefault="00921826" w:rsidP="00921826">
            <w:pPr>
              <w:tabs>
                <w:tab w:val="right" w:pos="3969"/>
                <w:tab w:val="right" w:pos="6096"/>
                <w:tab w:val="right" w:pos="7797"/>
              </w:tabs>
              <w:jc w:val="center"/>
              <w:rPr>
                <w:color w:val="3366FF"/>
              </w:rPr>
            </w:pPr>
            <w:r w:rsidRPr="003C5DF6">
              <w:rPr>
                <w:color w:val="3366FF"/>
              </w:rPr>
              <w:t>% difference from statutory rate</w:t>
            </w:r>
          </w:p>
        </w:tc>
        <w:tc>
          <w:tcPr>
            <w:tcW w:w="1704" w:type="dxa"/>
          </w:tcPr>
          <w:p w14:paraId="70A9AC20" w14:textId="7CEAEC6B" w:rsidR="00921826" w:rsidRPr="003C5DF6" w:rsidRDefault="00921826" w:rsidP="00921826">
            <w:pPr>
              <w:tabs>
                <w:tab w:val="right" w:pos="3969"/>
                <w:tab w:val="right" w:pos="6096"/>
                <w:tab w:val="right" w:pos="7797"/>
              </w:tabs>
              <w:jc w:val="center"/>
              <w:rPr>
                <w:color w:val="3366FF"/>
              </w:rPr>
            </w:pPr>
            <w:r w:rsidRPr="003C5DF6">
              <w:rPr>
                <w:color w:val="3366FF"/>
              </w:rPr>
              <w:t>Tax effect</w:t>
            </w:r>
          </w:p>
        </w:tc>
      </w:tr>
      <w:tr w:rsidR="00921826" w:rsidRPr="003C5DF6" w14:paraId="77518882" w14:textId="77777777" w:rsidTr="00921826">
        <w:tc>
          <w:tcPr>
            <w:tcW w:w="1703" w:type="dxa"/>
          </w:tcPr>
          <w:p w14:paraId="6B28DCD9" w14:textId="591D2812" w:rsidR="00921826" w:rsidRPr="003C5DF6" w:rsidRDefault="00921826" w:rsidP="00726787">
            <w:pPr>
              <w:tabs>
                <w:tab w:val="right" w:pos="3969"/>
                <w:tab w:val="right" w:pos="6096"/>
                <w:tab w:val="right" w:pos="7797"/>
              </w:tabs>
              <w:rPr>
                <w:color w:val="3366FF"/>
              </w:rPr>
            </w:pPr>
            <w:r w:rsidRPr="003C5DF6">
              <w:rPr>
                <w:color w:val="3366FF"/>
              </w:rPr>
              <w:t>Country A</w:t>
            </w:r>
          </w:p>
        </w:tc>
        <w:tc>
          <w:tcPr>
            <w:tcW w:w="1703" w:type="dxa"/>
          </w:tcPr>
          <w:p w14:paraId="19AD4E92" w14:textId="005575A5" w:rsidR="00921826" w:rsidRPr="003C5DF6" w:rsidRDefault="00921826" w:rsidP="00921826">
            <w:pPr>
              <w:tabs>
                <w:tab w:val="right" w:pos="3969"/>
                <w:tab w:val="right" w:pos="6096"/>
                <w:tab w:val="right" w:pos="7797"/>
              </w:tabs>
              <w:jc w:val="right"/>
              <w:rPr>
                <w:color w:val="3366FF"/>
              </w:rPr>
            </w:pPr>
            <w:r w:rsidRPr="003C5DF6">
              <w:rPr>
                <w:color w:val="3366FF"/>
              </w:rPr>
              <w:t>1,500,000</w:t>
            </w:r>
          </w:p>
        </w:tc>
        <w:tc>
          <w:tcPr>
            <w:tcW w:w="1703" w:type="dxa"/>
          </w:tcPr>
          <w:p w14:paraId="28ABF382" w14:textId="7D9A0AD6" w:rsidR="00921826" w:rsidRPr="003C5DF6" w:rsidRDefault="00921826" w:rsidP="00921826">
            <w:pPr>
              <w:tabs>
                <w:tab w:val="right" w:pos="3969"/>
                <w:tab w:val="right" w:pos="6096"/>
                <w:tab w:val="right" w:pos="7797"/>
              </w:tabs>
              <w:jc w:val="center"/>
              <w:rPr>
                <w:color w:val="3366FF"/>
              </w:rPr>
            </w:pPr>
            <w:r w:rsidRPr="003C5DF6">
              <w:rPr>
                <w:color w:val="3366FF"/>
              </w:rPr>
              <w:t>40%</w:t>
            </w:r>
          </w:p>
        </w:tc>
        <w:tc>
          <w:tcPr>
            <w:tcW w:w="1703" w:type="dxa"/>
          </w:tcPr>
          <w:p w14:paraId="67A98C1B" w14:textId="7D9A57B0" w:rsidR="00921826" w:rsidRPr="003C5DF6" w:rsidRDefault="00921826" w:rsidP="00921826">
            <w:pPr>
              <w:tabs>
                <w:tab w:val="right" w:pos="3969"/>
                <w:tab w:val="right" w:pos="6096"/>
                <w:tab w:val="right" w:pos="7797"/>
              </w:tabs>
              <w:jc w:val="center"/>
              <w:rPr>
                <w:color w:val="3366FF"/>
              </w:rPr>
            </w:pPr>
            <w:r w:rsidRPr="003C5DF6">
              <w:rPr>
                <w:color w:val="3366FF"/>
              </w:rPr>
              <w:t>20%</w:t>
            </w:r>
          </w:p>
        </w:tc>
        <w:tc>
          <w:tcPr>
            <w:tcW w:w="1704" w:type="dxa"/>
          </w:tcPr>
          <w:p w14:paraId="6E70C564" w14:textId="5B7CB21D" w:rsidR="00921826" w:rsidRPr="003C5DF6" w:rsidRDefault="00921826" w:rsidP="00921826">
            <w:pPr>
              <w:tabs>
                <w:tab w:val="right" w:pos="3969"/>
                <w:tab w:val="right" w:pos="6096"/>
                <w:tab w:val="right" w:pos="7797"/>
              </w:tabs>
              <w:jc w:val="right"/>
              <w:rPr>
                <w:color w:val="3366FF"/>
              </w:rPr>
            </w:pPr>
            <w:r w:rsidRPr="003C5DF6">
              <w:rPr>
                <w:color w:val="3366FF"/>
              </w:rPr>
              <w:t>300,000</w:t>
            </w:r>
          </w:p>
        </w:tc>
      </w:tr>
      <w:tr w:rsidR="00921826" w:rsidRPr="003C5DF6" w14:paraId="4DA2E78C" w14:textId="77777777" w:rsidTr="00921826">
        <w:tc>
          <w:tcPr>
            <w:tcW w:w="1703" w:type="dxa"/>
          </w:tcPr>
          <w:p w14:paraId="0DEED4BF" w14:textId="4E9712F4" w:rsidR="00921826" w:rsidRPr="003C5DF6" w:rsidRDefault="00921826" w:rsidP="00726787">
            <w:pPr>
              <w:tabs>
                <w:tab w:val="right" w:pos="3969"/>
                <w:tab w:val="right" w:pos="6096"/>
                <w:tab w:val="right" w:pos="7797"/>
              </w:tabs>
              <w:rPr>
                <w:color w:val="3366FF"/>
              </w:rPr>
            </w:pPr>
            <w:r w:rsidRPr="003C5DF6">
              <w:rPr>
                <w:color w:val="3366FF"/>
              </w:rPr>
              <w:t>Country B</w:t>
            </w:r>
          </w:p>
        </w:tc>
        <w:tc>
          <w:tcPr>
            <w:tcW w:w="1703" w:type="dxa"/>
          </w:tcPr>
          <w:p w14:paraId="1E645E0F" w14:textId="21AEA521" w:rsidR="00921826" w:rsidRPr="003C5DF6" w:rsidRDefault="00921826" w:rsidP="00921826">
            <w:pPr>
              <w:tabs>
                <w:tab w:val="right" w:pos="3969"/>
                <w:tab w:val="right" w:pos="6096"/>
                <w:tab w:val="right" w:pos="7797"/>
              </w:tabs>
              <w:jc w:val="right"/>
              <w:rPr>
                <w:color w:val="3366FF"/>
              </w:rPr>
            </w:pPr>
            <w:r w:rsidRPr="003C5DF6">
              <w:rPr>
                <w:color w:val="3366FF"/>
              </w:rPr>
              <w:t>1,000,000</w:t>
            </w:r>
          </w:p>
        </w:tc>
        <w:tc>
          <w:tcPr>
            <w:tcW w:w="1703" w:type="dxa"/>
          </w:tcPr>
          <w:p w14:paraId="0B79218C" w14:textId="199EADF4" w:rsidR="00921826" w:rsidRPr="003C5DF6" w:rsidRDefault="00921826" w:rsidP="00921826">
            <w:pPr>
              <w:tabs>
                <w:tab w:val="right" w:pos="3969"/>
                <w:tab w:val="right" w:pos="6096"/>
                <w:tab w:val="right" w:pos="7797"/>
              </w:tabs>
              <w:jc w:val="center"/>
              <w:rPr>
                <w:color w:val="3366FF"/>
              </w:rPr>
            </w:pPr>
            <w:r w:rsidRPr="003C5DF6">
              <w:rPr>
                <w:color w:val="3366FF"/>
              </w:rPr>
              <w:t>25%</w:t>
            </w:r>
          </w:p>
        </w:tc>
        <w:tc>
          <w:tcPr>
            <w:tcW w:w="1703" w:type="dxa"/>
          </w:tcPr>
          <w:p w14:paraId="41089EE6" w14:textId="252306AE" w:rsidR="00921826" w:rsidRPr="003C5DF6" w:rsidRDefault="00921826" w:rsidP="00921826">
            <w:pPr>
              <w:tabs>
                <w:tab w:val="right" w:pos="3969"/>
                <w:tab w:val="right" w:pos="6096"/>
                <w:tab w:val="right" w:pos="7797"/>
              </w:tabs>
              <w:jc w:val="center"/>
              <w:rPr>
                <w:color w:val="3366FF"/>
              </w:rPr>
            </w:pPr>
            <w:r w:rsidRPr="003C5DF6">
              <w:rPr>
                <w:color w:val="3366FF"/>
              </w:rPr>
              <w:t>5%</w:t>
            </w:r>
          </w:p>
        </w:tc>
        <w:tc>
          <w:tcPr>
            <w:tcW w:w="1704" w:type="dxa"/>
          </w:tcPr>
          <w:p w14:paraId="02C4A963" w14:textId="59C9FC71" w:rsidR="00921826" w:rsidRPr="003C5DF6" w:rsidRDefault="00921826" w:rsidP="00921826">
            <w:pPr>
              <w:tabs>
                <w:tab w:val="right" w:pos="3969"/>
                <w:tab w:val="right" w:pos="6096"/>
                <w:tab w:val="right" w:pos="7797"/>
              </w:tabs>
              <w:jc w:val="right"/>
              <w:rPr>
                <w:color w:val="3366FF"/>
              </w:rPr>
            </w:pPr>
            <w:r w:rsidRPr="003C5DF6">
              <w:rPr>
                <w:color w:val="3366FF"/>
              </w:rPr>
              <w:t>50,000</w:t>
            </w:r>
          </w:p>
        </w:tc>
      </w:tr>
      <w:tr w:rsidR="00921826" w:rsidRPr="003C5DF6" w14:paraId="469A595A" w14:textId="77777777" w:rsidTr="00921826">
        <w:tc>
          <w:tcPr>
            <w:tcW w:w="1703" w:type="dxa"/>
          </w:tcPr>
          <w:p w14:paraId="7D99C29F" w14:textId="14BF015F" w:rsidR="00921826" w:rsidRPr="003C5DF6" w:rsidRDefault="00921826" w:rsidP="00726787">
            <w:pPr>
              <w:tabs>
                <w:tab w:val="right" w:pos="3969"/>
                <w:tab w:val="right" w:pos="6096"/>
                <w:tab w:val="right" w:pos="7797"/>
              </w:tabs>
              <w:rPr>
                <w:color w:val="3366FF"/>
              </w:rPr>
            </w:pPr>
            <w:r w:rsidRPr="003C5DF6">
              <w:rPr>
                <w:color w:val="3366FF"/>
              </w:rPr>
              <w:t>Country C</w:t>
            </w:r>
          </w:p>
        </w:tc>
        <w:tc>
          <w:tcPr>
            <w:tcW w:w="1703" w:type="dxa"/>
          </w:tcPr>
          <w:p w14:paraId="0ECC39A9" w14:textId="4401950A" w:rsidR="00921826" w:rsidRPr="003C5DF6" w:rsidRDefault="00921826" w:rsidP="00921826">
            <w:pPr>
              <w:tabs>
                <w:tab w:val="right" w:pos="3969"/>
                <w:tab w:val="right" w:pos="6096"/>
                <w:tab w:val="right" w:pos="7797"/>
              </w:tabs>
              <w:jc w:val="right"/>
              <w:rPr>
                <w:color w:val="3366FF"/>
              </w:rPr>
            </w:pPr>
            <w:r w:rsidRPr="003C5DF6">
              <w:rPr>
                <w:color w:val="3366FF"/>
              </w:rPr>
              <w:t>250,000</w:t>
            </w:r>
          </w:p>
        </w:tc>
        <w:tc>
          <w:tcPr>
            <w:tcW w:w="1703" w:type="dxa"/>
          </w:tcPr>
          <w:p w14:paraId="4BCCD173" w14:textId="77842701" w:rsidR="00921826" w:rsidRPr="003C5DF6" w:rsidRDefault="00921826" w:rsidP="00921826">
            <w:pPr>
              <w:tabs>
                <w:tab w:val="right" w:pos="3969"/>
                <w:tab w:val="right" w:pos="6096"/>
                <w:tab w:val="right" w:pos="7797"/>
              </w:tabs>
              <w:jc w:val="center"/>
              <w:rPr>
                <w:color w:val="3366FF"/>
              </w:rPr>
            </w:pPr>
            <w:r w:rsidRPr="003C5DF6">
              <w:rPr>
                <w:color w:val="3366FF"/>
              </w:rPr>
              <w:t>15%</w:t>
            </w:r>
          </w:p>
        </w:tc>
        <w:tc>
          <w:tcPr>
            <w:tcW w:w="1703" w:type="dxa"/>
          </w:tcPr>
          <w:p w14:paraId="0B8C0671" w14:textId="4BC411E9" w:rsidR="00921826" w:rsidRPr="003C5DF6" w:rsidRDefault="00921826" w:rsidP="00921826">
            <w:pPr>
              <w:tabs>
                <w:tab w:val="right" w:pos="3969"/>
                <w:tab w:val="right" w:pos="6096"/>
                <w:tab w:val="right" w:pos="7797"/>
              </w:tabs>
              <w:jc w:val="center"/>
              <w:rPr>
                <w:color w:val="3366FF"/>
              </w:rPr>
            </w:pPr>
            <w:r w:rsidRPr="003C5DF6">
              <w:rPr>
                <w:color w:val="3366FF"/>
              </w:rPr>
              <w:t>(5%)</w:t>
            </w:r>
          </w:p>
        </w:tc>
        <w:tc>
          <w:tcPr>
            <w:tcW w:w="1704" w:type="dxa"/>
          </w:tcPr>
          <w:p w14:paraId="15DFD27A" w14:textId="052742C1" w:rsidR="00921826" w:rsidRPr="003C5DF6" w:rsidRDefault="00A24379" w:rsidP="00921826">
            <w:pPr>
              <w:tabs>
                <w:tab w:val="right" w:pos="3969"/>
                <w:tab w:val="right" w:pos="6096"/>
                <w:tab w:val="right" w:pos="7797"/>
              </w:tabs>
              <w:jc w:val="right"/>
              <w:rPr>
                <w:color w:val="3366FF"/>
              </w:rPr>
            </w:pPr>
            <w:r>
              <w:rPr>
                <w:color w:val="3366FF"/>
              </w:rPr>
              <w:t>(12</w:t>
            </w:r>
            <w:r w:rsidR="00921826" w:rsidRPr="003C5DF6">
              <w:rPr>
                <w:color w:val="3366FF"/>
              </w:rPr>
              <w:t>,500)</w:t>
            </w:r>
          </w:p>
        </w:tc>
      </w:tr>
      <w:tr w:rsidR="00921826" w:rsidRPr="003C5DF6" w14:paraId="38BD817B" w14:textId="77777777" w:rsidTr="00921826">
        <w:tc>
          <w:tcPr>
            <w:tcW w:w="1703" w:type="dxa"/>
          </w:tcPr>
          <w:p w14:paraId="2A62B307" w14:textId="7EA44E1C" w:rsidR="00921826" w:rsidRPr="003C5DF6" w:rsidRDefault="00921826" w:rsidP="00726787">
            <w:pPr>
              <w:tabs>
                <w:tab w:val="right" w:pos="3969"/>
                <w:tab w:val="right" w:pos="6096"/>
                <w:tab w:val="right" w:pos="7797"/>
              </w:tabs>
              <w:rPr>
                <w:color w:val="3366FF"/>
              </w:rPr>
            </w:pPr>
            <w:r w:rsidRPr="003C5DF6">
              <w:rPr>
                <w:color w:val="3366FF"/>
              </w:rPr>
              <w:t>Country D</w:t>
            </w:r>
          </w:p>
        </w:tc>
        <w:tc>
          <w:tcPr>
            <w:tcW w:w="1703" w:type="dxa"/>
          </w:tcPr>
          <w:p w14:paraId="277AEB83" w14:textId="0BBF875D" w:rsidR="00921826" w:rsidRPr="003C5DF6" w:rsidRDefault="00921826" w:rsidP="00921826">
            <w:pPr>
              <w:tabs>
                <w:tab w:val="right" w:pos="3969"/>
                <w:tab w:val="right" w:pos="6096"/>
                <w:tab w:val="right" w:pos="7797"/>
              </w:tabs>
              <w:jc w:val="right"/>
              <w:rPr>
                <w:color w:val="3366FF"/>
              </w:rPr>
            </w:pPr>
            <w:r w:rsidRPr="003C5DF6">
              <w:rPr>
                <w:color w:val="3366FF"/>
              </w:rPr>
              <w:t>750,000</w:t>
            </w:r>
          </w:p>
        </w:tc>
        <w:tc>
          <w:tcPr>
            <w:tcW w:w="1703" w:type="dxa"/>
          </w:tcPr>
          <w:p w14:paraId="31A9BD82" w14:textId="23D94880" w:rsidR="00921826" w:rsidRPr="003C5DF6" w:rsidRDefault="00921826" w:rsidP="00921826">
            <w:pPr>
              <w:tabs>
                <w:tab w:val="right" w:pos="3969"/>
                <w:tab w:val="right" w:pos="6096"/>
                <w:tab w:val="right" w:pos="7797"/>
              </w:tabs>
              <w:jc w:val="center"/>
              <w:rPr>
                <w:color w:val="3366FF"/>
              </w:rPr>
            </w:pPr>
            <w:r w:rsidRPr="003C5DF6">
              <w:rPr>
                <w:color w:val="3366FF"/>
              </w:rPr>
              <w:t>35%</w:t>
            </w:r>
          </w:p>
        </w:tc>
        <w:tc>
          <w:tcPr>
            <w:tcW w:w="1703" w:type="dxa"/>
          </w:tcPr>
          <w:p w14:paraId="57D7F18D" w14:textId="3BEFE32C" w:rsidR="00921826" w:rsidRPr="003C5DF6" w:rsidRDefault="00921826" w:rsidP="00921826">
            <w:pPr>
              <w:tabs>
                <w:tab w:val="right" w:pos="3969"/>
                <w:tab w:val="right" w:pos="6096"/>
                <w:tab w:val="right" w:pos="7797"/>
              </w:tabs>
              <w:jc w:val="center"/>
              <w:rPr>
                <w:color w:val="3366FF"/>
              </w:rPr>
            </w:pPr>
            <w:r w:rsidRPr="003C5DF6">
              <w:rPr>
                <w:color w:val="3366FF"/>
              </w:rPr>
              <w:t>15%</w:t>
            </w:r>
          </w:p>
        </w:tc>
        <w:tc>
          <w:tcPr>
            <w:tcW w:w="1704" w:type="dxa"/>
            <w:tcBorders>
              <w:bottom w:val="single" w:sz="4" w:space="0" w:color="auto"/>
            </w:tcBorders>
          </w:tcPr>
          <w:p w14:paraId="125A9973" w14:textId="065E7D75" w:rsidR="00921826" w:rsidRPr="003C5DF6" w:rsidRDefault="00921826" w:rsidP="00921826">
            <w:pPr>
              <w:tabs>
                <w:tab w:val="right" w:pos="3969"/>
                <w:tab w:val="right" w:pos="6096"/>
                <w:tab w:val="right" w:pos="7797"/>
              </w:tabs>
              <w:jc w:val="right"/>
              <w:rPr>
                <w:color w:val="3366FF"/>
              </w:rPr>
            </w:pPr>
            <w:r w:rsidRPr="003C5DF6">
              <w:rPr>
                <w:color w:val="3366FF"/>
              </w:rPr>
              <w:t>112,500</w:t>
            </w:r>
          </w:p>
        </w:tc>
      </w:tr>
      <w:tr w:rsidR="00921826" w:rsidRPr="003C5DF6" w14:paraId="4CCD24CB" w14:textId="77777777" w:rsidTr="00921826">
        <w:tc>
          <w:tcPr>
            <w:tcW w:w="1703" w:type="dxa"/>
          </w:tcPr>
          <w:p w14:paraId="2235283C" w14:textId="77777777" w:rsidR="00921826" w:rsidRPr="003C5DF6" w:rsidRDefault="00921826" w:rsidP="00726787">
            <w:pPr>
              <w:tabs>
                <w:tab w:val="right" w:pos="3969"/>
                <w:tab w:val="right" w:pos="6096"/>
                <w:tab w:val="right" w:pos="7797"/>
              </w:tabs>
              <w:rPr>
                <w:color w:val="3366FF"/>
              </w:rPr>
            </w:pPr>
          </w:p>
        </w:tc>
        <w:tc>
          <w:tcPr>
            <w:tcW w:w="1703" w:type="dxa"/>
          </w:tcPr>
          <w:p w14:paraId="6C555CA3" w14:textId="77777777" w:rsidR="00921826" w:rsidRPr="003C5DF6" w:rsidRDefault="00921826" w:rsidP="00921826">
            <w:pPr>
              <w:tabs>
                <w:tab w:val="right" w:pos="3969"/>
                <w:tab w:val="right" w:pos="6096"/>
                <w:tab w:val="right" w:pos="7797"/>
              </w:tabs>
              <w:jc w:val="right"/>
              <w:rPr>
                <w:color w:val="3366FF"/>
              </w:rPr>
            </w:pPr>
          </w:p>
        </w:tc>
        <w:tc>
          <w:tcPr>
            <w:tcW w:w="1703" w:type="dxa"/>
          </w:tcPr>
          <w:p w14:paraId="21CFC710" w14:textId="77777777" w:rsidR="00921826" w:rsidRPr="003C5DF6" w:rsidRDefault="00921826" w:rsidP="00921826">
            <w:pPr>
              <w:tabs>
                <w:tab w:val="right" w:pos="3969"/>
                <w:tab w:val="right" w:pos="6096"/>
                <w:tab w:val="right" w:pos="7797"/>
              </w:tabs>
              <w:jc w:val="center"/>
              <w:rPr>
                <w:color w:val="3366FF"/>
              </w:rPr>
            </w:pPr>
          </w:p>
        </w:tc>
        <w:tc>
          <w:tcPr>
            <w:tcW w:w="1703" w:type="dxa"/>
          </w:tcPr>
          <w:p w14:paraId="3B146F61" w14:textId="77777777" w:rsidR="00921826" w:rsidRPr="003C5DF6" w:rsidRDefault="00921826" w:rsidP="00921826">
            <w:pPr>
              <w:tabs>
                <w:tab w:val="right" w:pos="3969"/>
                <w:tab w:val="right" w:pos="6096"/>
                <w:tab w:val="right" w:pos="7797"/>
              </w:tabs>
              <w:jc w:val="center"/>
              <w:rPr>
                <w:color w:val="3366FF"/>
              </w:rPr>
            </w:pPr>
          </w:p>
        </w:tc>
        <w:tc>
          <w:tcPr>
            <w:tcW w:w="1704" w:type="dxa"/>
            <w:tcBorders>
              <w:top w:val="single" w:sz="4" w:space="0" w:color="auto"/>
            </w:tcBorders>
          </w:tcPr>
          <w:p w14:paraId="1A01A96B" w14:textId="6A10428E" w:rsidR="00921826" w:rsidRPr="003C5DF6" w:rsidRDefault="00A24379" w:rsidP="00921826">
            <w:pPr>
              <w:tabs>
                <w:tab w:val="right" w:pos="3969"/>
                <w:tab w:val="right" w:pos="6096"/>
                <w:tab w:val="right" w:pos="7797"/>
              </w:tabs>
              <w:jc w:val="right"/>
              <w:rPr>
                <w:color w:val="3366FF"/>
              </w:rPr>
            </w:pPr>
            <w:r>
              <w:rPr>
                <w:color w:val="3366FF"/>
              </w:rPr>
              <w:t>450</w:t>
            </w:r>
            <w:r w:rsidR="00921826" w:rsidRPr="003C5DF6">
              <w:rPr>
                <w:color w:val="3366FF"/>
              </w:rPr>
              <w:t>,000</w:t>
            </w:r>
          </w:p>
        </w:tc>
      </w:tr>
    </w:tbl>
    <w:p w14:paraId="6555EC55" w14:textId="77777777" w:rsidR="00921826" w:rsidRPr="003C5DF6" w:rsidRDefault="00921826" w:rsidP="00726787">
      <w:pPr>
        <w:tabs>
          <w:tab w:val="right" w:pos="3969"/>
          <w:tab w:val="right" w:pos="6096"/>
          <w:tab w:val="right" w:pos="7797"/>
        </w:tabs>
        <w:rPr>
          <w:color w:val="3366FF"/>
        </w:rPr>
      </w:pPr>
    </w:p>
    <w:sectPr w:rsidR="00921826" w:rsidRPr="003C5DF6" w:rsidSect="00E27A3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33"/>
    <w:rsid w:val="003C5DF6"/>
    <w:rsid w:val="003F3976"/>
    <w:rsid w:val="00485F9E"/>
    <w:rsid w:val="00726787"/>
    <w:rsid w:val="00756D5A"/>
    <w:rsid w:val="00786608"/>
    <w:rsid w:val="00910E1D"/>
    <w:rsid w:val="00921826"/>
    <w:rsid w:val="00A24379"/>
    <w:rsid w:val="00E27A33"/>
    <w:rsid w:val="00E4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447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313</Words>
  <Characters>1787</Characters>
  <Application>Microsoft Macintosh Word</Application>
  <DocSecurity>0</DocSecurity>
  <Lines>14</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Paul Smith</cp:lastModifiedBy>
  <cp:revision>5</cp:revision>
  <cp:lastPrinted>2018-02-15T09:35:00Z</cp:lastPrinted>
  <dcterms:created xsi:type="dcterms:W3CDTF">2018-02-15T09:14:00Z</dcterms:created>
  <dcterms:modified xsi:type="dcterms:W3CDTF">2018-04-13T09:13:00Z</dcterms:modified>
</cp:coreProperties>
</file>