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E9850" w14:textId="77777777" w:rsidR="009C4A6A" w:rsidRPr="004017CE" w:rsidRDefault="00075775">
      <w:pPr>
        <w:rPr>
          <w:b/>
        </w:rPr>
      </w:pPr>
      <w:bookmarkStart w:id="0" w:name="_GoBack"/>
      <w:bookmarkEnd w:id="0"/>
      <w:r w:rsidRPr="004017CE">
        <w:rPr>
          <w:b/>
        </w:rPr>
        <w:t>Impairment of Assets – Illustrative examples</w:t>
      </w:r>
    </w:p>
    <w:p w14:paraId="15D5E445" w14:textId="77777777" w:rsidR="00075775" w:rsidRDefault="00075775"/>
    <w:p w14:paraId="49A2EF2D" w14:textId="2369D000" w:rsidR="00075775" w:rsidRDefault="0066356C">
      <w:r>
        <w:t xml:space="preserve">Example 1 </w:t>
      </w:r>
      <w:r w:rsidR="00075775">
        <w:t>Identification of cash-generating units</w:t>
      </w:r>
    </w:p>
    <w:p w14:paraId="0ABE6F76" w14:textId="77777777" w:rsidR="00075775" w:rsidRDefault="00075775"/>
    <w:p w14:paraId="46C6BABD" w14:textId="77777777" w:rsidR="00075775" w:rsidRPr="004017CE" w:rsidRDefault="00075775">
      <w:pPr>
        <w:rPr>
          <w:b/>
        </w:rPr>
      </w:pPr>
      <w:r w:rsidRPr="004017CE">
        <w:rPr>
          <w:b/>
        </w:rPr>
        <w:t>A - Retail store chain</w:t>
      </w:r>
    </w:p>
    <w:p w14:paraId="50F6B954" w14:textId="77777777" w:rsidR="00075775" w:rsidRDefault="00075775"/>
    <w:p w14:paraId="2430AF19" w14:textId="77777777" w:rsidR="00075775" w:rsidRPr="00711DC6" w:rsidRDefault="00075775">
      <w:pPr>
        <w:rPr>
          <w:color w:val="3366FF"/>
        </w:rPr>
      </w:pPr>
      <w:r w:rsidRPr="00711DC6">
        <w:rPr>
          <w:color w:val="3366FF"/>
        </w:rPr>
        <w:t>Background</w:t>
      </w:r>
    </w:p>
    <w:p w14:paraId="7ABA14EA" w14:textId="77777777" w:rsidR="00075775" w:rsidRDefault="00075775"/>
    <w:p w14:paraId="4FC1561C" w14:textId="77777777" w:rsidR="00075775" w:rsidRDefault="00075775">
      <w:r>
        <w:t xml:space="preserve">Store X belongs to retail store chain M. X makes all its retail purchases through M’s purchasing </w:t>
      </w:r>
      <w:r w:rsidRPr="004017CE">
        <w:t>centre</w:t>
      </w:r>
      <w:r>
        <w:t>. Pricing, marketing, advertising and human resources policies (except for hiring X’s cashiers and sales staff) are decided by M. M also owns five other stores in the same city a</w:t>
      </w:r>
      <w:r w:rsidR="004017CE">
        <w:t>s</w:t>
      </w:r>
      <w:r>
        <w:t xml:space="preserve"> X (although in different </w:t>
      </w:r>
      <w:r w:rsidR="004017CE">
        <w:t>neighbourhoods</w:t>
      </w:r>
      <w:r>
        <w:t>) and 20 other stores in other cities. All stores are managed in the same way as X. X and four other stores were purchased five years ago and goodwill was recognized.</w:t>
      </w:r>
    </w:p>
    <w:p w14:paraId="471148D0" w14:textId="77777777" w:rsidR="00075775" w:rsidRDefault="00075775"/>
    <w:p w14:paraId="7D2328D4" w14:textId="77777777" w:rsidR="00075775" w:rsidRDefault="00075775">
      <w:r>
        <w:t>What is the cash-generating unit for X (X’s cash-generating unit)?</w:t>
      </w:r>
    </w:p>
    <w:p w14:paraId="48E241FA" w14:textId="77777777" w:rsidR="00075775" w:rsidRDefault="00075775"/>
    <w:p w14:paraId="2B0A027E" w14:textId="77777777" w:rsidR="00075775" w:rsidRDefault="00075775"/>
    <w:p w14:paraId="3A0E5A1D" w14:textId="77777777" w:rsidR="00075775" w:rsidRPr="00711DC6" w:rsidRDefault="004017CE">
      <w:pPr>
        <w:rPr>
          <w:color w:val="3366FF"/>
        </w:rPr>
      </w:pPr>
      <w:r w:rsidRPr="00711DC6">
        <w:rPr>
          <w:color w:val="3366FF"/>
        </w:rPr>
        <w:t>Analysis</w:t>
      </w:r>
    </w:p>
    <w:p w14:paraId="53A3E92B" w14:textId="77777777" w:rsidR="004017CE" w:rsidRDefault="004017CE"/>
    <w:p w14:paraId="52350045" w14:textId="1D2A9022" w:rsidR="004017CE" w:rsidRDefault="00711DC6">
      <w:r>
        <w:t>In identifying X’s cash-generating unit, an entity considers whether, for example:</w:t>
      </w:r>
    </w:p>
    <w:p w14:paraId="44020946" w14:textId="77777777" w:rsidR="00711DC6" w:rsidRDefault="00711DC6"/>
    <w:p w14:paraId="04E829B1" w14:textId="3AD62C2A" w:rsidR="00711DC6" w:rsidRDefault="00711DC6" w:rsidP="00711DC6">
      <w:pPr>
        <w:pStyle w:val="ListParagraph"/>
        <w:numPr>
          <w:ilvl w:val="0"/>
          <w:numId w:val="1"/>
        </w:numPr>
      </w:pPr>
      <w:r>
        <w:t>Internal management reporting is organized to measure performance on a store-by-store basis; and</w:t>
      </w:r>
    </w:p>
    <w:p w14:paraId="014B24FA" w14:textId="570F00E6" w:rsidR="00711DC6" w:rsidRDefault="00711DC6" w:rsidP="00711DC6">
      <w:pPr>
        <w:pStyle w:val="ListParagraph"/>
        <w:numPr>
          <w:ilvl w:val="0"/>
          <w:numId w:val="1"/>
        </w:numPr>
      </w:pPr>
      <w:r>
        <w:t>The business is run on a store-by-store basis on a region/city basis.</w:t>
      </w:r>
    </w:p>
    <w:p w14:paraId="0FD770CC" w14:textId="77777777" w:rsidR="00711DC6" w:rsidRDefault="00711DC6" w:rsidP="00711DC6"/>
    <w:p w14:paraId="7A44A51B" w14:textId="1B42386F" w:rsidR="00711DC6" w:rsidRDefault="00711DC6" w:rsidP="00711DC6">
      <w:r>
        <w:t xml:space="preserve">All M’s stores are in different neighbourhoods and probably have different customer bases. So, although X is managed at a corporate level, X generates cash inflows that are largely independent of those of M’s other stores. Therefore it is likely that X is a </w:t>
      </w:r>
      <w:proofErr w:type="gramStart"/>
      <w:r>
        <w:t>cash generating</w:t>
      </w:r>
      <w:proofErr w:type="gramEnd"/>
      <w:r>
        <w:t xml:space="preserve"> unit.</w:t>
      </w:r>
    </w:p>
    <w:p w14:paraId="767C57D3" w14:textId="77777777" w:rsidR="00711DC6" w:rsidRDefault="00711DC6" w:rsidP="00711DC6"/>
    <w:p w14:paraId="567BBAB0" w14:textId="36C584F3" w:rsidR="00711DC6" w:rsidRDefault="009C4A6A" w:rsidP="00711DC6">
      <w:r>
        <w:t xml:space="preserve">If X’s </w:t>
      </w:r>
      <w:proofErr w:type="gramStart"/>
      <w:r>
        <w:t>cash-generating-unit</w:t>
      </w:r>
      <w:proofErr w:type="gramEnd"/>
      <w:r>
        <w:t xml:space="preserve"> represents the lowest level at which the goodwill is monitored</w:t>
      </w:r>
      <w:r w:rsidR="00EF4E8E">
        <w:t xml:space="preserve"> </w:t>
      </w:r>
      <w:r>
        <w:t>for internal m</w:t>
      </w:r>
      <w:r w:rsidR="00EF4E8E">
        <w:t xml:space="preserve">anagement purposes, M applies to that cash-generating-unit the impairment test described in paragraph 90 of IAS 36 (annual test). If information about the carrying amount of goodwill is not available and monitored for internal management purposes at the level of X’s cash-generating unit, M applies to that cash-generating unit the impairment test described in paragraph 88 of IAS 36 (test if there is an indication of impairment). </w:t>
      </w:r>
    </w:p>
    <w:p w14:paraId="26E496D0" w14:textId="77777777" w:rsidR="00E70773" w:rsidRDefault="00E70773" w:rsidP="00711DC6"/>
    <w:p w14:paraId="2A7A76F7" w14:textId="3732AD8F" w:rsidR="00E70773" w:rsidRDefault="00E70773">
      <w:r>
        <w:br w:type="page"/>
      </w:r>
    </w:p>
    <w:p w14:paraId="2E3919E5" w14:textId="2ADF9C9F" w:rsidR="00E70773" w:rsidRPr="00E70773" w:rsidRDefault="00E70773" w:rsidP="00711DC6">
      <w:pPr>
        <w:rPr>
          <w:b/>
        </w:rPr>
      </w:pPr>
      <w:r w:rsidRPr="00E70773">
        <w:rPr>
          <w:b/>
        </w:rPr>
        <w:lastRenderedPageBreak/>
        <w:t>B - Plant for an intermediate step in a production process</w:t>
      </w:r>
    </w:p>
    <w:p w14:paraId="5F884DC3" w14:textId="77777777" w:rsidR="00E70773" w:rsidRDefault="00E70773" w:rsidP="00711DC6"/>
    <w:p w14:paraId="0B1C0F0E" w14:textId="42ABCB92" w:rsidR="00E70773" w:rsidRPr="00E70773" w:rsidRDefault="00E70773" w:rsidP="00711DC6">
      <w:pPr>
        <w:rPr>
          <w:color w:val="3366FF"/>
        </w:rPr>
      </w:pPr>
      <w:r w:rsidRPr="00E70773">
        <w:rPr>
          <w:color w:val="3366FF"/>
        </w:rPr>
        <w:t>Background</w:t>
      </w:r>
    </w:p>
    <w:p w14:paraId="4E7A3E10" w14:textId="77777777" w:rsidR="00E70773" w:rsidRDefault="00E70773" w:rsidP="00711DC6"/>
    <w:p w14:paraId="53AD7F1F" w14:textId="1FF1B327" w:rsidR="00E70773" w:rsidRDefault="00E70773" w:rsidP="00711DC6">
      <w:r>
        <w:t>A significant raw material used for plant Y’s final production is an intermediate product bough from plant X of the same entity. X’s products are sold to X at a transfer price that passes all the margins to X. Eighty per cent of Y’s final production is sold to customers outside of the entity. Sixty per cent of X’s final production is sold to Y and the remaining 40 per cent is sold to customers outside of the entity.</w:t>
      </w:r>
    </w:p>
    <w:p w14:paraId="1672AA19" w14:textId="77777777" w:rsidR="00E70773" w:rsidRDefault="00E70773" w:rsidP="00711DC6"/>
    <w:p w14:paraId="47F44D22" w14:textId="6B481049" w:rsidR="00E70773" w:rsidRDefault="00E70773" w:rsidP="00711DC6">
      <w:r>
        <w:t>For each of the following cases, what are the cash-generating units for X and Y?</w:t>
      </w:r>
    </w:p>
    <w:p w14:paraId="023FF935" w14:textId="77777777" w:rsidR="00E70773" w:rsidRDefault="00E70773" w:rsidP="00711DC6"/>
    <w:p w14:paraId="46A5BCE7" w14:textId="1FB6B2E0" w:rsidR="00E70773" w:rsidRDefault="00E70773" w:rsidP="00711DC6">
      <w:r w:rsidRPr="00C934B7">
        <w:rPr>
          <w:b/>
        </w:rPr>
        <w:t>Case 1</w:t>
      </w:r>
      <w:r>
        <w:t>: X could sell the product it sells to Y in an active market. Internal transfer prices are higher than market prices.</w:t>
      </w:r>
    </w:p>
    <w:p w14:paraId="5F4CC88D" w14:textId="77777777" w:rsidR="00E70773" w:rsidRDefault="00E70773" w:rsidP="00711DC6"/>
    <w:p w14:paraId="3EF8F332" w14:textId="023905B3" w:rsidR="00E70773" w:rsidRDefault="00E70773" w:rsidP="00711DC6">
      <w:r w:rsidRPr="00C934B7">
        <w:rPr>
          <w:b/>
        </w:rPr>
        <w:t>Case 2</w:t>
      </w:r>
      <w:r>
        <w:t>: There is no active market for the products that X sells to Y.</w:t>
      </w:r>
    </w:p>
    <w:p w14:paraId="6F96AB5D" w14:textId="77777777" w:rsidR="00E70773" w:rsidRDefault="00E70773" w:rsidP="00711DC6"/>
    <w:p w14:paraId="609C61B1" w14:textId="77777777" w:rsidR="00E70773" w:rsidRDefault="00E70773" w:rsidP="00711DC6"/>
    <w:p w14:paraId="6A5CAFF2" w14:textId="43E1786B" w:rsidR="00E70773" w:rsidRPr="00D64CE7" w:rsidRDefault="00D64CE7" w:rsidP="00711DC6">
      <w:pPr>
        <w:rPr>
          <w:color w:val="3366FF"/>
        </w:rPr>
      </w:pPr>
      <w:r w:rsidRPr="00D64CE7">
        <w:rPr>
          <w:color w:val="3366FF"/>
        </w:rPr>
        <w:t>Analysis</w:t>
      </w:r>
    </w:p>
    <w:p w14:paraId="73B00CA1" w14:textId="77777777" w:rsidR="00D64CE7" w:rsidRDefault="00D64CE7" w:rsidP="00711DC6"/>
    <w:p w14:paraId="19B2FD0A" w14:textId="2F6F20C7" w:rsidR="00C85A3B" w:rsidRDefault="00D64CE7" w:rsidP="00711DC6">
      <w:r w:rsidRPr="00C934B7">
        <w:rPr>
          <w:b/>
        </w:rPr>
        <w:t>Case 1</w:t>
      </w:r>
      <w:r>
        <w:t xml:space="preserve"> </w:t>
      </w:r>
    </w:p>
    <w:p w14:paraId="3BD58B7F" w14:textId="02A22E18" w:rsidR="00D64CE7" w:rsidRDefault="00D64CE7" w:rsidP="00711DC6">
      <w:r>
        <w:t xml:space="preserve">X could sell its products in an active market and, so, generate cash inflows that would be largely independent of the cash flows from Y. </w:t>
      </w:r>
      <w:proofErr w:type="gramStart"/>
      <w:r>
        <w:t>Therefore,</w:t>
      </w:r>
      <w:proofErr w:type="gramEnd"/>
      <w:r>
        <w:t xml:space="preserve"> it is likely that X is a separate cash-generating unit, although part of its production is used by Y. (see paragraph 70 of IAS 36).</w:t>
      </w:r>
    </w:p>
    <w:p w14:paraId="0570EB49" w14:textId="77777777" w:rsidR="00D64CE7" w:rsidRDefault="00D64CE7" w:rsidP="00711DC6"/>
    <w:p w14:paraId="6C7929F0" w14:textId="3F7067A2" w:rsidR="00D64CE7" w:rsidRDefault="00D64CE7" w:rsidP="00711DC6">
      <w:r>
        <w:t xml:space="preserve">It is likely that Y is also a separate </w:t>
      </w:r>
      <w:proofErr w:type="gramStart"/>
      <w:r>
        <w:t>cash-generating-unit</w:t>
      </w:r>
      <w:proofErr w:type="gramEnd"/>
      <w:r>
        <w:t>. Y sells 80 per cent of its products to customers outside of the entity. Therefore, its cash inflows can be regarded as largely independent.</w:t>
      </w:r>
    </w:p>
    <w:p w14:paraId="4FDBD468" w14:textId="77777777" w:rsidR="00D64CE7" w:rsidRDefault="00D64CE7" w:rsidP="00711DC6"/>
    <w:p w14:paraId="56448120" w14:textId="35C3313A" w:rsidR="00D64CE7" w:rsidRDefault="00D64CE7" w:rsidP="00711DC6">
      <w:r>
        <w:t>Internal transfer prices do not reflect market prices for X’s output. Therefore in determining value in use of both X and Y, the entity adjusts financial budget/forecasts to reflect management’s best estimate of future prices that could be achieved in arm’s length transactions for those of X’s products that are used internally (see paragraph 70 of IAS 36).</w:t>
      </w:r>
    </w:p>
    <w:p w14:paraId="0A3C981B" w14:textId="77777777" w:rsidR="00C934B7" w:rsidRDefault="00C934B7" w:rsidP="00711DC6"/>
    <w:p w14:paraId="7CC4909E" w14:textId="55494457" w:rsidR="00C85A3B" w:rsidRDefault="00C934B7" w:rsidP="00711DC6">
      <w:r w:rsidRPr="00C934B7">
        <w:rPr>
          <w:b/>
        </w:rPr>
        <w:t>Case 2</w:t>
      </w:r>
      <w:r>
        <w:t xml:space="preserve"> </w:t>
      </w:r>
    </w:p>
    <w:p w14:paraId="51A403A6" w14:textId="1BECEFD1" w:rsidR="00C934B7" w:rsidRDefault="00F9224B" w:rsidP="00711DC6">
      <w:r>
        <w:t>It is likely that the recoverable amount of each plant cannot be assessed independently</w:t>
      </w:r>
      <w:r w:rsidR="009928B0">
        <w:t xml:space="preserve"> of the recoverable amount of the other plant because:</w:t>
      </w:r>
    </w:p>
    <w:p w14:paraId="22F578AC" w14:textId="3D82219B" w:rsidR="009928B0" w:rsidRDefault="009928B0" w:rsidP="009928B0">
      <w:pPr>
        <w:pStyle w:val="ListParagraph"/>
        <w:numPr>
          <w:ilvl w:val="0"/>
          <w:numId w:val="2"/>
        </w:numPr>
      </w:pPr>
      <w:r>
        <w:t>The majority of X’s production is used internally and could not be sold in an active market. So, cash inflows of X depend on demand for Y’s products. Therefore, X cannot be considered to generate cash inflows that are largely independent of those of Y.</w:t>
      </w:r>
    </w:p>
    <w:p w14:paraId="39744B86" w14:textId="71A88707" w:rsidR="009928B0" w:rsidRDefault="00800526" w:rsidP="009928B0">
      <w:pPr>
        <w:pStyle w:val="ListParagraph"/>
        <w:numPr>
          <w:ilvl w:val="0"/>
          <w:numId w:val="2"/>
        </w:numPr>
      </w:pPr>
      <w:r>
        <w:t>The two plants are managed together</w:t>
      </w:r>
    </w:p>
    <w:p w14:paraId="3FDBE337" w14:textId="77777777" w:rsidR="00800526" w:rsidRDefault="00800526" w:rsidP="00800526"/>
    <w:p w14:paraId="4CF46E11" w14:textId="4AA36C35" w:rsidR="00800526" w:rsidRDefault="00800526" w:rsidP="00800526">
      <w:r>
        <w:t xml:space="preserve">As a consequence, it is likely that X and Y together are the smallest </w:t>
      </w:r>
      <w:proofErr w:type="gramStart"/>
      <w:r>
        <w:t>group  of</w:t>
      </w:r>
      <w:proofErr w:type="gramEnd"/>
      <w:r>
        <w:t xml:space="preserve"> assets that generates cash inflows that are largely independent.</w:t>
      </w:r>
    </w:p>
    <w:p w14:paraId="721B5351" w14:textId="77777777" w:rsidR="00A22E0D" w:rsidRDefault="00A22E0D" w:rsidP="00800526"/>
    <w:p w14:paraId="1D584550" w14:textId="5E67BD57" w:rsidR="00A22E0D" w:rsidRDefault="00A22E0D">
      <w:r>
        <w:br w:type="page"/>
      </w:r>
    </w:p>
    <w:p w14:paraId="4CD7A40C" w14:textId="495D1189" w:rsidR="00A22E0D" w:rsidRPr="00A22E0D" w:rsidRDefault="00A22E0D" w:rsidP="00800526">
      <w:pPr>
        <w:rPr>
          <w:b/>
        </w:rPr>
      </w:pPr>
      <w:r w:rsidRPr="00A22E0D">
        <w:rPr>
          <w:b/>
        </w:rPr>
        <w:t>C – Single product entity</w:t>
      </w:r>
    </w:p>
    <w:p w14:paraId="34F8D701" w14:textId="77777777" w:rsidR="00A22E0D" w:rsidRDefault="00A22E0D" w:rsidP="00800526"/>
    <w:p w14:paraId="12769C40" w14:textId="34A6F976" w:rsidR="00A22E0D" w:rsidRPr="00A22E0D" w:rsidRDefault="00A22E0D" w:rsidP="00800526">
      <w:pPr>
        <w:rPr>
          <w:color w:val="3366FF"/>
        </w:rPr>
      </w:pPr>
      <w:r w:rsidRPr="00A22E0D">
        <w:rPr>
          <w:color w:val="3366FF"/>
        </w:rPr>
        <w:t>Background</w:t>
      </w:r>
    </w:p>
    <w:p w14:paraId="6B54F0CE" w14:textId="77777777" w:rsidR="00A22E0D" w:rsidRDefault="00A22E0D" w:rsidP="00800526"/>
    <w:p w14:paraId="04BCE9A1" w14:textId="488EA4C6" w:rsidR="00A22E0D" w:rsidRDefault="00A22E0D" w:rsidP="00800526">
      <w:r>
        <w:t>Entity M produces a single product and owns plants A, B and C. Each plant is located in a different continent. A produces a component that is assembled in either B or C. The combined capacity of B and C is not fully utilized. M’s product are sold worldwide from either B or C. For example, B’s own production can be sold in C’s continent if the products can be delivered faster from B than C. Utilization levels of B and C depends on the allocation of sales between the two sites.</w:t>
      </w:r>
    </w:p>
    <w:p w14:paraId="5A90CDB9" w14:textId="77777777" w:rsidR="00A06CD8" w:rsidRDefault="00A06CD8" w:rsidP="00800526"/>
    <w:p w14:paraId="00311CD6" w14:textId="68CC85CE" w:rsidR="00A06CD8" w:rsidRDefault="00A06CD8" w:rsidP="00800526">
      <w:r>
        <w:t xml:space="preserve">For each of the following cases, what are the </w:t>
      </w:r>
      <w:proofErr w:type="gramStart"/>
      <w:r>
        <w:t>cash-generating-units</w:t>
      </w:r>
      <w:proofErr w:type="gramEnd"/>
      <w:r>
        <w:t xml:space="preserve"> for A, B and C?</w:t>
      </w:r>
    </w:p>
    <w:p w14:paraId="772BDD0F" w14:textId="77777777" w:rsidR="00A06CD8" w:rsidRDefault="00A06CD8" w:rsidP="00800526"/>
    <w:p w14:paraId="093613B8" w14:textId="37194512" w:rsidR="00A06CD8" w:rsidRDefault="00A06CD8" w:rsidP="00800526">
      <w:r>
        <w:t>Case 1: There is an active market for A’s products</w:t>
      </w:r>
      <w:r w:rsidR="00A45307">
        <w:t>.</w:t>
      </w:r>
    </w:p>
    <w:p w14:paraId="1FAA6B41" w14:textId="7D26084C" w:rsidR="00A06CD8" w:rsidRDefault="00A06CD8" w:rsidP="00800526">
      <w:r>
        <w:t>Case 2: There is no active market for A’s products</w:t>
      </w:r>
      <w:r w:rsidR="00A45307">
        <w:t>.</w:t>
      </w:r>
    </w:p>
    <w:p w14:paraId="5D81365B" w14:textId="77777777" w:rsidR="00C85A3B" w:rsidRDefault="00C85A3B" w:rsidP="00800526"/>
    <w:p w14:paraId="410F2490" w14:textId="32A1D55B" w:rsidR="00C85A3B" w:rsidRPr="00C85A3B" w:rsidRDefault="00C85A3B" w:rsidP="00800526">
      <w:pPr>
        <w:rPr>
          <w:color w:val="3366FF"/>
        </w:rPr>
      </w:pPr>
      <w:r w:rsidRPr="00C85A3B">
        <w:rPr>
          <w:color w:val="3366FF"/>
        </w:rPr>
        <w:t>Analysis</w:t>
      </w:r>
    </w:p>
    <w:p w14:paraId="7CFA8A8A" w14:textId="77777777" w:rsidR="00C85A3B" w:rsidRDefault="00C85A3B" w:rsidP="00800526"/>
    <w:p w14:paraId="0582DC67" w14:textId="36814EA6" w:rsidR="00C85A3B" w:rsidRPr="00C85A3B" w:rsidRDefault="00C85A3B" w:rsidP="00800526">
      <w:pPr>
        <w:rPr>
          <w:b/>
        </w:rPr>
      </w:pPr>
      <w:r w:rsidRPr="00C85A3B">
        <w:rPr>
          <w:b/>
        </w:rPr>
        <w:t>Case 1</w:t>
      </w:r>
    </w:p>
    <w:p w14:paraId="6BB8E67C" w14:textId="0BF7A41B" w:rsidR="00C85A3B" w:rsidRDefault="00C85A3B" w:rsidP="00800526">
      <w:r>
        <w:t xml:space="preserve">It is likely that A is a separate </w:t>
      </w:r>
      <w:proofErr w:type="gramStart"/>
      <w:r>
        <w:t>cash-generating-unit</w:t>
      </w:r>
      <w:proofErr w:type="gramEnd"/>
      <w:r>
        <w:t xml:space="preserve"> because there is an active market for its products.</w:t>
      </w:r>
    </w:p>
    <w:p w14:paraId="52B885F3" w14:textId="77777777" w:rsidR="00C85A3B" w:rsidRDefault="00C85A3B" w:rsidP="00800526"/>
    <w:p w14:paraId="365F57B5" w14:textId="4B5B6612" w:rsidR="00C85A3B" w:rsidRDefault="00C85A3B" w:rsidP="00800526">
      <w:r>
        <w:t>Although there is an active market for the products assembled by B and C, cash inflows for B and C depend on the allocation of production across the two sites. It is unlikely that the future cash inflows for B and C can be determined individually. Therefore, it is likely that B and C together are the smallest identifiable group of assets that generates cash inflows that are largely independent.</w:t>
      </w:r>
    </w:p>
    <w:p w14:paraId="32DC5FFE" w14:textId="77777777" w:rsidR="00C85A3B" w:rsidRDefault="00C85A3B" w:rsidP="00800526"/>
    <w:p w14:paraId="0C678F5E" w14:textId="5C34A053" w:rsidR="00C85A3B" w:rsidRDefault="00C85A3B" w:rsidP="00800526">
      <w:r>
        <w:t>In determining the value in use of A and B plus C, M adjusts financial budgets/forecasts to reflect the best estimate of future prices that could be achieved in arm’s length transactions for A’s products.</w:t>
      </w:r>
    </w:p>
    <w:p w14:paraId="5EE6ED90" w14:textId="77777777" w:rsidR="00C85A3B" w:rsidRDefault="00C85A3B" w:rsidP="00800526"/>
    <w:p w14:paraId="69F78962" w14:textId="770742C4" w:rsidR="00C85A3B" w:rsidRPr="001116F7" w:rsidRDefault="001116F7" w:rsidP="00800526">
      <w:pPr>
        <w:rPr>
          <w:b/>
        </w:rPr>
      </w:pPr>
      <w:r w:rsidRPr="001116F7">
        <w:rPr>
          <w:b/>
        </w:rPr>
        <w:t>Case 2</w:t>
      </w:r>
    </w:p>
    <w:p w14:paraId="31431EF4" w14:textId="4F6CDA88" w:rsidR="001116F7" w:rsidRDefault="001116F7" w:rsidP="00800526">
      <w:r>
        <w:t>It is likely that the recoverable amount of each plant cannot be assessed independently because:</w:t>
      </w:r>
    </w:p>
    <w:p w14:paraId="2394AA2F" w14:textId="77777777" w:rsidR="001116F7" w:rsidRDefault="001116F7" w:rsidP="001116F7">
      <w:pPr>
        <w:pStyle w:val="ListParagraph"/>
        <w:numPr>
          <w:ilvl w:val="0"/>
          <w:numId w:val="3"/>
        </w:numPr>
      </w:pPr>
      <w:r>
        <w:t>There is no active market for A’s products. Therefore A’s cash inflows depend on sales of the final product by B and C.</w:t>
      </w:r>
    </w:p>
    <w:p w14:paraId="6C994805" w14:textId="00C00FE8" w:rsidR="001116F7" w:rsidRDefault="001116F7" w:rsidP="001116F7">
      <w:pPr>
        <w:pStyle w:val="ListParagraph"/>
        <w:numPr>
          <w:ilvl w:val="0"/>
          <w:numId w:val="3"/>
        </w:numPr>
      </w:pPr>
      <w:r>
        <w:t xml:space="preserve">Although there is an active market for the products assembled by B and C, </w:t>
      </w:r>
      <w:r w:rsidR="0090745E">
        <w:t>c</w:t>
      </w:r>
      <w:r>
        <w:t>a</w:t>
      </w:r>
      <w:r w:rsidR="0090745E">
        <w:t>s</w:t>
      </w:r>
      <w:r>
        <w:t>h in</w:t>
      </w:r>
      <w:r w:rsidR="0090745E">
        <w:t xml:space="preserve">flows for B and C depend </w:t>
      </w:r>
      <w:r>
        <w:t>on the allocation of production across the two s</w:t>
      </w:r>
      <w:r w:rsidR="0090745E">
        <w:t>ites. It is unlikely that the fu</w:t>
      </w:r>
      <w:r>
        <w:t xml:space="preserve">ture cash flows </w:t>
      </w:r>
      <w:r w:rsidR="0090745E">
        <w:t>for B and C can be determined individually.</w:t>
      </w:r>
    </w:p>
    <w:p w14:paraId="5B87B88E" w14:textId="77777777" w:rsidR="0090745E" w:rsidRDefault="0090745E" w:rsidP="0090745E"/>
    <w:p w14:paraId="3B044C55" w14:textId="72DA165A" w:rsidR="0090745E" w:rsidRDefault="0090745E" w:rsidP="0090745E">
      <w:r>
        <w:t>As a consequence, it is likely that A, B and C together (i.e. M as a whole) are the smallest identifiable group of assets that generates cash inflows that are largely independent.</w:t>
      </w:r>
    </w:p>
    <w:p w14:paraId="32D17D32" w14:textId="77777777" w:rsidR="00EC1B55" w:rsidRDefault="00EC1B55" w:rsidP="0090745E"/>
    <w:p w14:paraId="29BCB0AC" w14:textId="46D2713A" w:rsidR="00EC1B55" w:rsidRDefault="00EC1B55">
      <w:r>
        <w:br w:type="page"/>
      </w:r>
    </w:p>
    <w:p w14:paraId="124EA77F" w14:textId="32687A25" w:rsidR="00EC1B55" w:rsidRPr="00EC1B55" w:rsidRDefault="00EC1B55" w:rsidP="0090745E">
      <w:pPr>
        <w:rPr>
          <w:b/>
        </w:rPr>
      </w:pPr>
      <w:r w:rsidRPr="00EC1B55">
        <w:rPr>
          <w:b/>
        </w:rPr>
        <w:t>D – Magazine titles</w:t>
      </w:r>
    </w:p>
    <w:p w14:paraId="5DEEEF8A" w14:textId="77777777" w:rsidR="00EC1B55" w:rsidRDefault="00EC1B55" w:rsidP="0090745E"/>
    <w:p w14:paraId="6D229E54" w14:textId="5C86DEE3" w:rsidR="00EC1B55" w:rsidRPr="00EC1B55" w:rsidRDefault="00EC1B55" w:rsidP="0090745E">
      <w:pPr>
        <w:rPr>
          <w:color w:val="3366FF"/>
        </w:rPr>
      </w:pPr>
      <w:r w:rsidRPr="00EC1B55">
        <w:rPr>
          <w:color w:val="3366FF"/>
        </w:rPr>
        <w:t>Background</w:t>
      </w:r>
    </w:p>
    <w:p w14:paraId="6420E1E4" w14:textId="77777777" w:rsidR="00EC1B55" w:rsidRDefault="00EC1B55" w:rsidP="0090745E"/>
    <w:p w14:paraId="3D219C5B" w14:textId="30B58A3B" w:rsidR="00EC1B55" w:rsidRDefault="00EC1B55" w:rsidP="0090745E">
      <w:r>
        <w:t xml:space="preserve">A publisher owns 150 magazine titles of which 70 were purchased and 80 were self-created. The price paid for a purchased magazine title is recognized as an intangible asset. The costs of creating magazine titles and maintaining the existing titles are recognized as an expense when incurred. Cash inflows from direct sales and advertising are identifiable for each magazine title. </w:t>
      </w:r>
      <w:proofErr w:type="gramStart"/>
      <w:r>
        <w:t>Titles are managed by customer segments</w:t>
      </w:r>
      <w:proofErr w:type="gramEnd"/>
      <w:r>
        <w:t>. The level of advertising income for a magazine title depends on the range of the titles in the customer segment to which the magazine title relates. Management has a policy to abandon old titles before the end of their economic lives and replace them immediately with new titles for the same customer segment.</w:t>
      </w:r>
    </w:p>
    <w:p w14:paraId="734ECA58" w14:textId="77777777" w:rsidR="00EC1B55" w:rsidRDefault="00EC1B55" w:rsidP="0090745E"/>
    <w:p w14:paraId="3F84C171" w14:textId="3EDCAADB" w:rsidR="00EC1B55" w:rsidRDefault="00EC1B55" w:rsidP="0090745E">
      <w:r>
        <w:t xml:space="preserve">What is the </w:t>
      </w:r>
      <w:proofErr w:type="gramStart"/>
      <w:r>
        <w:t>cash-generating-unit</w:t>
      </w:r>
      <w:proofErr w:type="gramEnd"/>
      <w:r>
        <w:t xml:space="preserve"> for an individual magazine title?</w:t>
      </w:r>
    </w:p>
    <w:p w14:paraId="62FDD4E1" w14:textId="77777777" w:rsidR="00EC1B55" w:rsidRDefault="00EC1B55" w:rsidP="0090745E"/>
    <w:p w14:paraId="32937BB6" w14:textId="46FCC114" w:rsidR="00EC1B55" w:rsidRPr="00EC1B55" w:rsidRDefault="00EC1B55" w:rsidP="0090745E">
      <w:pPr>
        <w:rPr>
          <w:color w:val="3366FF"/>
        </w:rPr>
      </w:pPr>
      <w:r w:rsidRPr="00EC1B55">
        <w:rPr>
          <w:color w:val="3366FF"/>
        </w:rPr>
        <w:t>Analysis</w:t>
      </w:r>
    </w:p>
    <w:p w14:paraId="5EFDBB06" w14:textId="77777777" w:rsidR="00EC1B55" w:rsidRDefault="00EC1B55" w:rsidP="0090745E"/>
    <w:p w14:paraId="6987E552" w14:textId="0DF710D1" w:rsidR="00EC1B55" w:rsidRDefault="0094087C" w:rsidP="0090745E">
      <w:r>
        <w:t xml:space="preserve">It is likely that the recoverable amount of an individual magazine title can be assessed. Even though the level of advertising income for a title is influenced, to a certain extent, by the other titles in the customer segment, cash inflows from direct sales and advertising are identifiable for each title. In addition, although </w:t>
      </w:r>
      <w:proofErr w:type="gramStart"/>
      <w:r>
        <w:t>titles are managed by customer segments</w:t>
      </w:r>
      <w:proofErr w:type="gramEnd"/>
      <w:r>
        <w:t>, decisions to abandon titles are made on an individual title basis.</w:t>
      </w:r>
    </w:p>
    <w:p w14:paraId="5A4CD972" w14:textId="77777777" w:rsidR="0094087C" w:rsidRDefault="0094087C" w:rsidP="0090745E"/>
    <w:p w14:paraId="335C7BEA" w14:textId="313866DD" w:rsidR="0094087C" w:rsidRDefault="0094087C" w:rsidP="0090745E">
      <w:r>
        <w:t xml:space="preserve">Therefore it is likely that individual magazine titles generate cash inflows that are largely independent of each other and that each magazine title is a separate </w:t>
      </w:r>
      <w:proofErr w:type="gramStart"/>
      <w:r>
        <w:t>cash-generating-unit</w:t>
      </w:r>
      <w:proofErr w:type="gramEnd"/>
      <w:r>
        <w:t>.</w:t>
      </w:r>
    </w:p>
    <w:p w14:paraId="2D2E5775" w14:textId="77777777" w:rsidR="007F6714" w:rsidRDefault="007F6714" w:rsidP="0090745E"/>
    <w:p w14:paraId="65DDDDB9" w14:textId="0B8FE138" w:rsidR="007F6714" w:rsidRDefault="007F6714">
      <w:r>
        <w:br w:type="page"/>
      </w:r>
    </w:p>
    <w:p w14:paraId="29BFE11C" w14:textId="5EDE8A15" w:rsidR="007F6714" w:rsidRPr="007F6714" w:rsidRDefault="007F6714" w:rsidP="0090745E">
      <w:pPr>
        <w:rPr>
          <w:b/>
        </w:rPr>
      </w:pPr>
      <w:r w:rsidRPr="007F6714">
        <w:rPr>
          <w:b/>
        </w:rPr>
        <w:t>E – Building half-rented to others and half-occupied for own use</w:t>
      </w:r>
    </w:p>
    <w:p w14:paraId="1A643806" w14:textId="77777777" w:rsidR="007F6714" w:rsidRDefault="007F6714" w:rsidP="0090745E"/>
    <w:p w14:paraId="11C60357" w14:textId="2AE9EFFA" w:rsidR="007F6714" w:rsidRPr="007F6714" w:rsidRDefault="007F6714" w:rsidP="0090745E">
      <w:pPr>
        <w:rPr>
          <w:color w:val="3366FF"/>
        </w:rPr>
      </w:pPr>
      <w:r w:rsidRPr="007F6714">
        <w:rPr>
          <w:color w:val="3366FF"/>
        </w:rPr>
        <w:t>Background</w:t>
      </w:r>
    </w:p>
    <w:p w14:paraId="747AED2E" w14:textId="77777777" w:rsidR="007F6714" w:rsidRDefault="007F6714" w:rsidP="0090745E"/>
    <w:p w14:paraId="6BA823CF" w14:textId="0E5A9575" w:rsidR="007F6714" w:rsidRDefault="007F6714" w:rsidP="0090745E">
      <w:r>
        <w:t xml:space="preserve">M is a manufacturing company. It owns a headquarters building that used to be fully occupied for internal use. After </w:t>
      </w:r>
      <w:proofErr w:type="gramStart"/>
      <w:r>
        <w:t>down-sizing</w:t>
      </w:r>
      <w:proofErr w:type="gramEnd"/>
      <w:r>
        <w:t>, half of the building is now used internally and half rented to third parties. The lease agreement with the tenant is for five years.</w:t>
      </w:r>
    </w:p>
    <w:p w14:paraId="0D5B9B1E" w14:textId="77777777" w:rsidR="007F6714" w:rsidRDefault="007F6714" w:rsidP="0090745E"/>
    <w:p w14:paraId="44246EE3" w14:textId="0EA704F8" w:rsidR="007F6714" w:rsidRDefault="007F6714" w:rsidP="0090745E">
      <w:r>
        <w:t xml:space="preserve">What is the </w:t>
      </w:r>
      <w:proofErr w:type="gramStart"/>
      <w:r>
        <w:t>cash-generating-unit</w:t>
      </w:r>
      <w:proofErr w:type="gramEnd"/>
      <w:r>
        <w:t xml:space="preserve"> for the building?</w:t>
      </w:r>
    </w:p>
    <w:p w14:paraId="387645CE" w14:textId="77777777" w:rsidR="007F6714" w:rsidRDefault="007F6714" w:rsidP="0090745E"/>
    <w:p w14:paraId="19B271AD" w14:textId="6E5A8FF5" w:rsidR="007F6714" w:rsidRPr="007F6714" w:rsidRDefault="007F6714" w:rsidP="0090745E">
      <w:pPr>
        <w:rPr>
          <w:color w:val="3366FF"/>
        </w:rPr>
      </w:pPr>
      <w:r w:rsidRPr="007F6714">
        <w:rPr>
          <w:color w:val="3366FF"/>
        </w:rPr>
        <w:t>Analysis</w:t>
      </w:r>
    </w:p>
    <w:p w14:paraId="6DBFB39D" w14:textId="77777777" w:rsidR="007F6714" w:rsidRDefault="007F6714" w:rsidP="0090745E"/>
    <w:p w14:paraId="2351A902" w14:textId="3D353A4C" w:rsidR="007F6714" w:rsidRDefault="00EE43D9" w:rsidP="0090745E">
      <w:r>
        <w:t xml:space="preserve">The primary purpose of the building is to serve as a corporate asset, supporting M’s manufacturing activities. Therefore, the building as a whole cannot be considered to generate cash inflows that are largely independent of the cash inflows from the entity as a whole. So, it is likely that the </w:t>
      </w:r>
      <w:proofErr w:type="gramStart"/>
      <w:r>
        <w:t>cash-generating-unit</w:t>
      </w:r>
      <w:proofErr w:type="gramEnd"/>
      <w:r>
        <w:t xml:space="preserve"> for the building is M as a whole.</w:t>
      </w:r>
    </w:p>
    <w:p w14:paraId="2CAE7E6F" w14:textId="77777777" w:rsidR="00EE43D9" w:rsidRDefault="00EE43D9" w:rsidP="0090745E"/>
    <w:p w14:paraId="3E0A4482" w14:textId="4C8FB544" w:rsidR="00EE43D9" w:rsidRDefault="00EE43D9" w:rsidP="0090745E">
      <w:r>
        <w:t>The building is not held as an investment. Therefore, it would not be appropriate to determine the value in use of the building based on projections of future market related rents.</w:t>
      </w:r>
    </w:p>
    <w:p w14:paraId="74DC9010" w14:textId="77777777" w:rsidR="00EE43D9" w:rsidRDefault="00EE43D9" w:rsidP="0090745E"/>
    <w:p w14:paraId="4029CA7E" w14:textId="1D9D877E" w:rsidR="0086220A" w:rsidRDefault="0086220A">
      <w:r>
        <w:br w:type="page"/>
      </w:r>
    </w:p>
    <w:p w14:paraId="3F63B874" w14:textId="5006E997" w:rsidR="00EE43D9" w:rsidRDefault="0086220A" w:rsidP="0090745E">
      <w:r>
        <w:t>Example 2 Calculation of value in use and recognition of an impairment los</w:t>
      </w:r>
    </w:p>
    <w:p w14:paraId="5D48E1AF" w14:textId="77777777" w:rsidR="0086220A" w:rsidRDefault="0086220A" w:rsidP="0090745E"/>
    <w:p w14:paraId="343C18BA" w14:textId="1919C739" w:rsidR="0086220A" w:rsidRPr="00340360" w:rsidRDefault="0086220A" w:rsidP="0090745E">
      <w:pPr>
        <w:rPr>
          <w:color w:val="3366FF"/>
        </w:rPr>
      </w:pPr>
      <w:r w:rsidRPr="00340360">
        <w:rPr>
          <w:color w:val="3366FF"/>
        </w:rPr>
        <w:t>Background and calculation of value in use</w:t>
      </w:r>
    </w:p>
    <w:p w14:paraId="4CA961CD" w14:textId="77777777" w:rsidR="0086220A" w:rsidRDefault="0086220A" w:rsidP="0090745E"/>
    <w:p w14:paraId="0CFC9B2B" w14:textId="660C6107" w:rsidR="0086220A" w:rsidRDefault="009031DB" w:rsidP="0090745E">
      <w:r>
        <w:t xml:space="preserve">At the end of </w:t>
      </w:r>
      <w:r w:rsidR="00D1562E">
        <w:t xml:space="preserve">20X0, entity T acquires entity M for CU 10,000. M has manufacturing plants in three countries. </w:t>
      </w:r>
    </w:p>
    <w:p w14:paraId="3A7C4AE0" w14:textId="77777777" w:rsidR="00D1562E" w:rsidRDefault="00D1562E" w:rsidP="0090745E"/>
    <w:p w14:paraId="407F8602" w14:textId="7744E2E0" w:rsidR="00D1562E" w:rsidRDefault="00D1562E" w:rsidP="0090745E">
      <w:r w:rsidRPr="00FD397D">
        <w:rPr>
          <w:i/>
        </w:rPr>
        <w:t>Schedule 1</w:t>
      </w:r>
      <w:r>
        <w:t>. Data at end of 20X0</w:t>
      </w:r>
    </w:p>
    <w:p w14:paraId="03F34973" w14:textId="77777777" w:rsidR="00D1562E" w:rsidRDefault="00D1562E" w:rsidP="0090745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843"/>
        <w:gridCol w:w="1843"/>
        <w:gridCol w:w="1320"/>
      </w:tblGrid>
      <w:tr w:rsidR="00D1562E" w14:paraId="20077327" w14:textId="77777777" w:rsidTr="00C70E8D">
        <w:tc>
          <w:tcPr>
            <w:tcW w:w="3510" w:type="dxa"/>
          </w:tcPr>
          <w:p w14:paraId="52686B47" w14:textId="41A690AA" w:rsidR="00D1562E" w:rsidRDefault="00D1562E" w:rsidP="0090745E">
            <w:r>
              <w:t>End of 20X0</w:t>
            </w:r>
          </w:p>
        </w:tc>
        <w:tc>
          <w:tcPr>
            <w:tcW w:w="1843" w:type="dxa"/>
          </w:tcPr>
          <w:p w14:paraId="2E08A7CB" w14:textId="77777777" w:rsidR="00D1562E" w:rsidRDefault="00D1562E" w:rsidP="00D1562E">
            <w:pPr>
              <w:jc w:val="right"/>
            </w:pPr>
            <w:r>
              <w:t xml:space="preserve">Allocation of </w:t>
            </w:r>
          </w:p>
          <w:p w14:paraId="34DC6869" w14:textId="77777777" w:rsidR="00D1562E" w:rsidRDefault="00D1562E" w:rsidP="00D1562E">
            <w:pPr>
              <w:jc w:val="right"/>
            </w:pPr>
            <w:r>
              <w:t xml:space="preserve">Purchase </w:t>
            </w:r>
          </w:p>
          <w:p w14:paraId="0AE87763" w14:textId="069E5AD7" w:rsidR="00D1562E" w:rsidRDefault="00D1562E" w:rsidP="00D1562E">
            <w:pPr>
              <w:jc w:val="right"/>
            </w:pPr>
            <w:proofErr w:type="gramStart"/>
            <w:r>
              <w:t>price</w:t>
            </w:r>
            <w:proofErr w:type="gramEnd"/>
          </w:p>
        </w:tc>
        <w:tc>
          <w:tcPr>
            <w:tcW w:w="1843" w:type="dxa"/>
          </w:tcPr>
          <w:p w14:paraId="040FA3A8" w14:textId="77777777" w:rsidR="00D1562E" w:rsidRDefault="00D1562E" w:rsidP="00D1562E">
            <w:pPr>
              <w:jc w:val="right"/>
            </w:pPr>
            <w:r>
              <w:t>Fair value of</w:t>
            </w:r>
          </w:p>
          <w:p w14:paraId="6CE0C901" w14:textId="702E4F3C" w:rsidR="00D1562E" w:rsidRDefault="00D1562E" w:rsidP="00D1562E">
            <w:pPr>
              <w:jc w:val="right"/>
            </w:pPr>
            <w:r>
              <w:t>Identifiable</w:t>
            </w:r>
          </w:p>
          <w:p w14:paraId="1338B65B" w14:textId="3BA2B233" w:rsidR="00D1562E" w:rsidRDefault="00D1562E" w:rsidP="00D1562E">
            <w:pPr>
              <w:jc w:val="right"/>
            </w:pPr>
            <w:proofErr w:type="gramStart"/>
            <w:r>
              <w:t>assets</w:t>
            </w:r>
            <w:proofErr w:type="gramEnd"/>
          </w:p>
        </w:tc>
        <w:tc>
          <w:tcPr>
            <w:tcW w:w="1320" w:type="dxa"/>
          </w:tcPr>
          <w:p w14:paraId="01B88D0A" w14:textId="16676FEB" w:rsidR="00D1562E" w:rsidRDefault="00D1562E" w:rsidP="00D1562E">
            <w:pPr>
              <w:jc w:val="right"/>
            </w:pPr>
            <w:proofErr w:type="gramStart"/>
            <w:r>
              <w:t>Goodwill</w:t>
            </w:r>
            <w:r w:rsidRPr="00D1562E">
              <w:rPr>
                <w:vertAlign w:val="superscript"/>
              </w:rPr>
              <w:t>(</w:t>
            </w:r>
            <w:proofErr w:type="gramEnd"/>
            <w:r w:rsidRPr="00D1562E">
              <w:rPr>
                <w:vertAlign w:val="superscript"/>
              </w:rPr>
              <w:t>a</w:t>
            </w:r>
            <w:r>
              <w:rPr>
                <w:vertAlign w:val="superscript"/>
              </w:rPr>
              <w:t>)</w:t>
            </w:r>
          </w:p>
        </w:tc>
      </w:tr>
      <w:tr w:rsidR="00D1562E" w14:paraId="2A4DA2E7" w14:textId="77777777" w:rsidTr="00C70E8D">
        <w:tc>
          <w:tcPr>
            <w:tcW w:w="3510" w:type="dxa"/>
          </w:tcPr>
          <w:p w14:paraId="4A75E2B9" w14:textId="068C17F0" w:rsidR="00D1562E" w:rsidRDefault="00D1562E" w:rsidP="0090745E"/>
        </w:tc>
        <w:tc>
          <w:tcPr>
            <w:tcW w:w="1843" w:type="dxa"/>
          </w:tcPr>
          <w:p w14:paraId="2787A960" w14:textId="38A803FF" w:rsidR="00D1562E" w:rsidRDefault="00D1562E" w:rsidP="00D1562E">
            <w:pPr>
              <w:jc w:val="right"/>
            </w:pPr>
            <w:r>
              <w:t>CU</w:t>
            </w:r>
          </w:p>
        </w:tc>
        <w:tc>
          <w:tcPr>
            <w:tcW w:w="1843" w:type="dxa"/>
          </w:tcPr>
          <w:p w14:paraId="1A799D5F" w14:textId="23D13708" w:rsidR="00D1562E" w:rsidRDefault="00D1562E" w:rsidP="00D1562E">
            <w:pPr>
              <w:jc w:val="right"/>
            </w:pPr>
            <w:r>
              <w:t>CU</w:t>
            </w:r>
          </w:p>
        </w:tc>
        <w:tc>
          <w:tcPr>
            <w:tcW w:w="1320" w:type="dxa"/>
          </w:tcPr>
          <w:p w14:paraId="469702A7" w14:textId="52BD558C" w:rsidR="00D1562E" w:rsidRDefault="00D1562E" w:rsidP="00D1562E">
            <w:pPr>
              <w:jc w:val="right"/>
            </w:pPr>
            <w:r>
              <w:t>CU</w:t>
            </w:r>
          </w:p>
        </w:tc>
      </w:tr>
      <w:tr w:rsidR="00D1562E" w14:paraId="0C142B8E" w14:textId="77777777" w:rsidTr="00C70E8D">
        <w:tc>
          <w:tcPr>
            <w:tcW w:w="3510" w:type="dxa"/>
          </w:tcPr>
          <w:p w14:paraId="260B26C5" w14:textId="0CE9EF64" w:rsidR="00D1562E" w:rsidRDefault="00D1562E" w:rsidP="0090745E">
            <w:r>
              <w:t>Activities in Country A</w:t>
            </w:r>
          </w:p>
        </w:tc>
        <w:tc>
          <w:tcPr>
            <w:tcW w:w="1843" w:type="dxa"/>
          </w:tcPr>
          <w:p w14:paraId="14DB2072" w14:textId="63284D5F" w:rsidR="00D1562E" w:rsidRDefault="00D1562E" w:rsidP="00D1562E">
            <w:pPr>
              <w:jc w:val="right"/>
            </w:pPr>
            <w:r>
              <w:t>3,000</w:t>
            </w:r>
          </w:p>
        </w:tc>
        <w:tc>
          <w:tcPr>
            <w:tcW w:w="1843" w:type="dxa"/>
          </w:tcPr>
          <w:p w14:paraId="357876D4" w14:textId="1C2D236F" w:rsidR="00D1562E" w:rsidRDefault="00D1562E" w:rsidP="00D1562E">
            <w:pPr>
              <w:jc w:val="right"/>
            </w:pPr>
            <w:r>
              <w:t>2,000</w:t>
            </w:r>
          </w:p>
        </w:tc>
        <w:tc>
          <w:tcPr>
            <w:tcW w:w="1320" w:type="dxa"/>
          </w:tcPr>
          <w:p w14:paraId="69736C71" w14:textId="0AB51EB6" w:rsidR="00D1562E" w:rsidRDefault="00D1562E" w:rsidP="00D1562E">
            <w:pPr>
              <w:jc w:val="right"/>
            </w:pPr>
            <w:r>
              <w:t>1,000</w:t>
            </w:r>
          </w:p>
        </w:tc>
      </w:tr>
      <w:tr w:rsidR="00D1562E" w14:paraId="261B4061" w14:textId="77777777" w:rsidTr="00C70E8D">
        <w:tc>
          <w:tcPr>
            <w:tcW w:w="3510" w:type="dxa"/>
          </w:tcPr>
          <w:p w14:paraId="52DC1191" w14:textId="204DC917" w:rsidR="00D1562E" w:rsidRDefault="00D1562E" w:rsidP="0090745E">
            <w:r>
              <w:t>Activities in Country B</w:t>
            </w:r>
          </w:p>
        </w:tc>
        <w:tc>
          <w:tcPr>
            <w:tcW w:w="1843" w:type="dxa"/>
          </w:tcPr>
          <w:p w14:paraId="5F9ACC4E" w14:textId="6167E73C" w:rsidR="00D1562E" w:rsidRDefault="00D1562E" w:rsidP="00D1562E">
            <w:pPr>
              <w:jc w:val="right"/>
            </w:pPr>
            <w:r>
              <w:t>2,000</w:t>
            </w:r>
          </w:p>
        </w:tc>
        <w:tc>
          <w:tcPr>
            <w:tcW w:w="1843" w:type="dxa"/>
          </w:tcPr>
          <w:p w14:paraId="509CA400" w14:textId="6A1ECEB2" w:rsidR="00D1562E" w:rsidRDefault="00D1562E" w:rsidP="00D1562E">
            <w:pPr>
              <w:jc w:val="right"/>
            </w:pPr>
            <w:r>
              <w:t>1,500</w:t>
            </w:r>
          </w:p>
        </w:tc>
        <w:tc>
          <w:tcPr>
            <w:tcW w:w="1320" w:type="dxa"/>
          </w:tcPr>
          <w:p w14:paraId="244C81C6" w14:textId="3AEC8411" w:rsidR="00D1562E" w:rsidRDefault="00D1562E" w:rsidP="00D1562E">
            <w:pPr>
              <w:jc w:val="right"/>
            </w:pPr>
            <w:r>
              <w:t>500</w:t>
            </w:r>
          </w:p>
        </w:tc>
      </w:tr>
      <w:tr w:rsidR="00D1562E" w14:paraId="666B68F6" w14:textId="77777777" w:rsidTr="00C70E8D">
        <w:tc>
          <w:tcPr>
            <w:tcW w:w="3510" w:type="dxa"/>
          </w:tcPr>
          <w:p w14:paraId="7557EF1B" w14:textId="3DD7A207" w:rsidR="00D1562E" w:rsidRDefault="00D1562E" w:rsidP="0090745E">
            <w:r>
              <w:t>Activities in Country C</w:t>
            </w:r>
          </w:p>
        </w:tc>
        <w:tc>
          <w:tcPr>
            <w:tcW w:w="1843" w:type="dxa"/>
          </w:tcPr>
          <w:p w14:paraId="497CD6FE" w14:textId="1E934E41" w:rsidR="00D1562E" w:rsidRPr="00D1562E" w:rsidRDefault="00D1562E" w:rsidP="00D1562E">
            <w:pPr>
              <w:jc w:val="right"/>
              <w:rPr>
                <w:u w:val="single"/>
              </w:rPr>
            </w:pPr>
            <w:r w:rsidRPr="00D1562E">
              <w:rPr>
                <w:u w:val="single"/>
              </w:rPr>
              <w:t>5,000</w:t>
            </w:r>
          </w:p>
        </w:tc>
        <w:tc>
          <w:tcPr>
            <w:tcW w:w="1843" w:type="dxa"/>
          </w:tcPr>
          <w:p w14:paraId="5550B599" w14:textId="142DD16F" w:rsidR="00D1562E" w:rsidRPr="00D1562E" w:rsidRDefault="00D1562E" w:rsidP="00D1562E">
            <w:pPr>
              <w:jc w:val="right"/>
              <w:rPr>
                <w:u w:val="single"/>
              </w:rPr>
            </w:pPr>
            <w:r w:rsidRPr="00D1562E">
              <w:rPr>
                <w:u w:val="single"/>
              </w:rPr>
              <w:t>3,500</w:t>
            </w:r>
          </w:p>
        </w:tc>
        <w:tc>
          <w:tcPr>
            <w:tcW w:w="1320" w:type="dxa"/>
          </w:tcPr>
          <w:p w14:paraId="14539AEE" w14:textId="68DFEDD7" w:rsidR="00D1562E" w:rsidRPr="00D1562E" w:rsidRDefault="00D1562E" w:rsidP="00D1562E">
            <w:pPr>
              <w:jc w:val="right"/>
              <w:rPr>
                <w:u w:val="single"/>
              </w:rPr>
            </w:pPr>
            <w:r w:rsidRPr="00D1562E">
              <w:rPr>
                <w:u w:val="single"/>
              </w:rPr>
              <w:t>1,500</w:t>
            </w:r>
          </w:p>
        </w:tc>
      </w:tr>
      <w:tr w:rsidR="00D1562E" w14:paraId="18B85A62" w14:textId="77777777" w:rsidTr="00C70E8D">
        <w:tc>
          <w:tcPr>
            <w:tcW w:w="3510" w:type="dxa"/>
          </w:tcPr>
          <w:p w14:paraId="58D973B0" w14:textId="77777777" w:rsidR="00D1562E" w:rsidRDefault="00D1562E" w:rsidP="0090745E"/>
        </w:tc>
        <w:tc>
          <w:tcPr>
            <w:tcW w:w="1843" w:type="dxa"/>
          </w:tcPr>
          <w:p w14:paraId="29381396" w14:textId="71B45307" w:rsidR="00D1562E" w:rsidRDefault="00D1562E" w:rsidP="00D1562E">
            <w:pPr>
              <w:jc w:val="right"/>
            </w:pPr>
            <w:r>
              <w:t>10,000</w:t>
            </w:r>
          </w:p>
        </w:tc>
        <w:tc>
          <w:tcPr>
            <w:tcW w:w="1843" w:type="dxa"/>
          </w:tcPr>
          <w:p w14:paraId="67542380" w14:textId="2DE23266" w:rsidR="00D1562E" w:rsidRDefault="00D1562E" w:rsidP="00D1562E">
            <w:pPr>
              <w:jc w:val="right"/>
            </w:pPr>
            <w:r>
              <w:t>7,000</w:t>
            </w:r>
          </w:p>
        </w:tc>
        <w:tc>
          <w:tcPr>
            <w:tcW w:w="1320" w:type="dxa"/>
          </w:tcPr>
          <w:p w14:paraId="21E2E6AE" w14:textId="59B43A76" w:rsidR="00D1562E" w:rsidRDefault="00D1562E" w:rsidP="00D1562E">
            <w:pPr>
              <w:jc w:val="right"/>
            </w:pPr>
            <w:r>
              <w:t>3,000</w:t>
            </w:r>
          </w:p>
        </w:tc>
      </w:tr>
    </w:tbl>
    <w:p w14:paraId="27557694" w14:textId="77777777" w:rsidR="00D1562E" w:rsidRDefault="00D1562E" w:rsidP="0090745E"/>
    <w:p w14:paraId="193D44D1" w14:textId="6DF5F969" w:rsidR="00D1562E" w:rsidRDefault="00D1562E" w:rsidP="0090745E">
      <w:r w:rsidRPr="001D2954">
        <w:rPr>
          <w:vertAlign w:val="superscript"/>
        </w:rPr>
        <w:t>(a)</w:t>
      </w:r>
      <w:r>
        <w:t xml:space="preserve"> </w:t>
      </w:r>
      <w:r w:rsidRPr="001D2954">
        <w:rPr>
          <w:sz w:val="20"/>
        </w:rPr>
        <w:t>Activities in each country represent the lowest level at which the goodwill is monitored for internal management purposes (determined as the difference betwee</w:t>
      </w:r>
      <w:r w:rsidR="001D2954" w:rsidRPr="001D2954">
        <w:rPr>
          <w:sz w:val="20"/>
        </w:rPr>
        <w:t>n the purchase price for the activities in each country, as specified in the purchase agreement, and the fair value of the identifiable assets</w:t>
      </w:r>
      <w:r w:rsidR="001D2954">
        <w:t>.</w:t>
      </w:r>
    </w:p>
    <w:p w14:paraId="106E1939" w14:textId="77777777" w:rsidR="001D2954" w:rsidRDefault="001D2954" w:rsidP="0090745E"/>
    <w:p w14:paraId="15D13637" w14:textId="1CC3001C" w:rsidR="001D2954" w:rsidRDefault="00340360" w:rsidP="0090745E">
      <w:r>
        <w:t>Because the goodwill has been allocated to the activities in each country, each of those activities must be tested for impairment annually or more frequently if there is any indication that it may be impaired.</w:t>
      </w:r>
    </w:p>
    <w:p w14:paraId="3CC64146" w14:textId="77777777" w:rsidR="00340360" w:rsidRDefault="00340360" w:rsidP="0090745E"/>
    <w:p w14:paraId="7FE7F84D" w14:textId="7F85EDFC" w:rsidR="00340360" w:rsidRDefault="00340360" w:rsidP="0090745E">
      <w:r>
        <w:t>The recoverable amounts (</w:t>
      </w:r>
      <w:proofErr w:type="spellStart"/>
      <w:r>
        <w:t>i</w:t>
      </w:r>
      <w:proofErr w:type="gramStart"/>
      <w:r>
        <w:t>,e</w:t>
      </w:r>
      <w:proofErr w:type="spellEnd"/>
      <w:proofErr w:type="gramEnd"/>
      <w:r>
        <w:t>, higher of value in use and fair value less costs of disposal) of the cash generating units are determined on the basis of value in use calculations. At the end of 20X0 and 20X1, the value in use of each of the cash-generating units exceeds its carrying amount. Therefore the activities in each country and the goodwill allocated to those activities are regarded as not impaired.</w:t>
      </w:r>
    </w:p>
    <w:p w14:paraId="12812570" w14:textId="77777777" w:rsidR="00340360" w:rsidRDefault="00340360" w:rsidP="0090745E"/>
    <w:p w14:paraId="5007D482" w14:textId="2A3E224B" w:rsidR="00340360" w:rsidRDefault="008642C0" w:rsidP="0090745E">
      <w:r>
        <w:t>At the beginning of 20X2, a new government is elected in Country AA. It passes legislation significantly restricting exports of T’s main product. As a result, and for the foreseeable future, T’s production in Country A will be cut by 40 per cent.</w:t>
      </w:r>
    </w:p>
    <w:p w14:paraId="46A104B3" w14:textId="77777777" w:rsidR="008642C0" w:rsidRDefault="008642C0" w:rsidP="0090745E"/>
    <w:p w14:paraId="2CB653DD" w14:textId="5F5E7830" w:rsidR="008642C0" w:rsidRDefault="00F52D7E" w:rsidP="0090745E">
      <w:r>
        <w:t xml:space="preserve">The significant export restrictions and the resulting production decrease require T also to estimate the recoverable amount of Country </w:t>
      </w:r>
      <w:proofErr w:type="gramStart"/>
      <w:r>
        <w:t>A</w:t>
      </w:r>
      <w:proofErr w:type="gramEnd"/>
      <w:r>
        <w:t xml:space="preserve"> operations at the beginning of 20X2.</w:t>
      </w:r>
    </w:p>
    <w:p w14:paraId="69E05D0C" w14:textId="77777777" w:rsidR="00F52D7E" w:rsidRDefault="00F52D7E" w:rsidP="0090745E"/>
    <w:p w14:paraId="4635B9AE" w14:textId="519E66C3" w:rsidR="00F52D7E" w:rsidRDefault="00F52D7E" w:rsidP="0090745E">
      <w:r>
        <w:t xml:space="preserve">T uses straight-line depreciation over a </w:t>
      </w:r>
      <w:proofErr w:type="gramStart"/>
      <w:r>
        <w:t>12 year</w:t>
      </w:r>
      <w:proofErr w:type="gramEnd"/>
      <w:r>
        <w:t xml:space="preserve"> life for the Country A identifiable assets and anticipates no residual value.</w:t>
      </w:r>
    </w:p>
    <w:p w14:paraId="17002B85" w14:textId="77777777" w:rsidR="00D8578A" w:rsidRDefault="00D8578A" w:rsidP="0090745E"/>
    <w:p w14:paraId="7C9258B1" w14:textId="3ABD4D53" w:rsidR="00D8578A" w:rsidRDefault="00D8578A" w:rsidP="0090745E">
      <w:r>
        <w:t xml:space="preserve">To determine the value in use for the Country </w:t>
      </w:r>
      <w:proofErr w:type="gramStart"/>
      <w:r>
        <w:t>A</w:t>
      </w:r>
      <w:proofErr w:type="gramEnd"/>
      <w:r>
        <w:t xml:space="preserve"> cash-generating unit </w:t>
      </w:r>
      <w:r w:rsidR="00FD397D">
        <w:t xml:space="preserve">(see </w:t>
      </w:r>
      <w:r w:rsidR="00FD397D">
        <w:rPr>
          <w:i/>
        </w:rPr>
        <w:t>S</w:t>
      </w:r>
      <w:r w:rsidR="00FD397D" w:rsidRPr="00FD397D">
        <w:rPr>
          <w:i/>
        </w:rPr>
        <w:t>chedule 2</w:t>
      </w:r>
      <w:r w:rsidR="00FD397D">
        <w:t xml:space="preserve">) </w:t>
      </w:r>
      <w:r>
        <w:t>T:</w:t>
      </w:r>
    </w:p>
    <w:p w14:paraId="1561742A" w14:textId="75269439" w:rsidR="00D8578A" w:rsidRDefault="00D8578A" w:rsidP="00D8578A">
      <w:pPr>
        <w:pStyle w:val="ListParagraph"/>
        <w:numPr>
          <w:ilvl w:val="0"/>
          <w:numId w:val="5"/>
        </w:numPr>
      </w:pPr>
      <w:r>
        <w:t>Prepares cash flow forecasts derived from the most recent financial budgets/forecasts for the next five years (years 20X2 – 20X6) approved by management</w:t>
      </w:r>
    </w:p>
    <w:p w14:paraId="3FC7F59E" w14:textId="37566709" w:rsidR="00D8578A" w:rsidRDefault="00D8578A" w:rsidP="00D8578A">
      <w:pPr>
        <w:pStyle w:val="ListParagraph"/>
        <w:numPr>
          <w:ilvl w:val="0"/>
          <w:numId w:val="5"/>
        </w:numPr>
      </w:pPr>
      <w:r>
        <w:t>Estimates subsequent cash flows (years 20X7 – 20Y2) based on declining growth rates. The growth rate for 20X7 is estimated to be 3 per cent. This rate is lower than the average long-term growth rate for the market in Country A.</w:t>
      </w:r>
    </w:p>
    <w:p w14:paraId="7532C257" w14:textId="2428CD02" w:rsidR="00D8578A" w:rsidRDefault="00D8578A" w:rsidP="00D8578A">
      <w:pPr>
        <w:pStyle w:val="ListParagraph"/>
        <w:numPr>
          <w:ilvl w:val="0"/>
          <w:numId w:val="5"/>
        </w:numPr>
      </w:pPr>
      <w:r>
        <w:t xml:space="preserve">Selects a 15 per cent discount rate, which represents a pre-tax rate that reflects current market assessments of the time value of money and the risks specific to the Country </w:t>
      </w:r>
      <w:proofErr w:type="gramStart"/>
      <w:r>
        <w:t>A</w:t>
      </w:r>
      <w:proofErr w:type="gramEnd"/>
      <w:r>
        <w:t xml:space="preserve"> cash-generating unit.</w:t>
      </w:r>
    </w:p>
    <w:p w14:paraId="4C4D8FD5" w14:textId="77777777" w:rsidR="00D8578A" w:rsidRDefault="00D8578A" w:rsidP="00D8578A"/>
    <w:p w14:paraId="10C1D289" w14:textId="60EF3695" w:rsidR="00D8578A" w:rsidRPr="00D8578A" w:rsidRDefault="00D8578A" w:rsidP="00D8578A">
      <w:pPr>
        <w:rPr>
          <w:color w:val="3366FF"/>
        </w:rPr>
      </w:pPr>
      <w:r w:rsidRPr="00D8578A">
        <w:rPr>
          <w:color w:val="3366FF"/>
        </w:rPr>
        <w:t>Recognition and measurement of impairment loss</w:t>
      </w:r>
    </w:p>
    <w:p w14:paraId="540DCAD8" w14:textId="77777777" w:rsidR="00D8578A" w:rsidRDefault="00D8578A" w:rsidP="00D8578A"/>
    <w:p w14:paraId="302B9CB5" w14:textId="4F184EE7" w:rsidR="00D8578A" w:rsidRDefault="003B2C7D" w:rsidP="00D8578A">
      <w:r>
        <w:t>The recoverable amount of the Country A cash-generating unit is CU 1,360.</w:t>
      </w:r>
    </w:p>
    <w:p w14:paraId="78863125" w14:textId="77777777" w:rsidR="003B2C7D" w:rsidRDefault="003B2C7D" w:rsidP="00D8578A"/>
    <w:p w14:paraId="7297D47F" w14:textId="2CFB1E1F" w:rsidR="003B2C7D" w:rsidRDefault="003B2C7D" w:rsidP="00D8578A">
      <w:r>
        <w:t xml:space="preserve">T compares the recoverable amount of the Country </w:t>
      </w:r>
      <w:proofErr w:type="gramStart"/>
      <w:r>
        <w:t>A</w:t>
      </w:r>
      <w:proofErr w:type="gramEnd"/>
      <w:r>
        <w:t xml:space="preserve"> cash-generating unit with its carrying amount</w:t>
      </w:r>
      <w:r w:rsidR="00FD397D">
        <w:t xml:space="preserve"> (see </w:t>
      </w:r>
      <w:r w:rsidR="00FD397D" w:rsidRPr="00FD397D">
        <w:rPr>
          <w:i/>
        </w:rPr>
        <w:t>Schedule 3</w:t>
      </w:r>
      <w:r w:rsidR="00FD397D">
        <w:t>)</w:t>
      </w:r>
      <w:r>
        <w:t>.</w:t>
      </w:r>
    </w:p>
    <w:p w14:paraId="45C01182" w14:textId="77777777" w:rsidR="003B2C7D" w:rsidRDefault="003B2C7D" w:rsidP="00D8578A"/>
    <w:p w14:paraId="039E02A4" w14:textId="091E71AF" w:rsidR="003B2C7D" w:rsidRDefault="003B2C7D" w:rsidP="00D8578A">
      <w:r>
        <w:t xml:space="preserve">Because </w:t>
      </w:r>
      <w:r w:rsidR="00FD397D">
        <w:t xml:space="preserve">the carrying amount exceeds the recoverable amount by CU 1,473, T recognizes an impairment loss of CU 1,473 immediately in profit or loss. The carrying amount of the goodwill that relates to Country </w:t>
      </w:r>
      <w:proofErr w:type="gramStart"/>
      <w:r w:rsidR="00FD397D">
        <w:t>A</w:t>
      </w:r>
      <w:proofErr w:type="gramEnd"/>
      <w:r w:rsidR="00FD397D">
        <w:t xml:space="preserve"> operations is reduced to zero before reducing the carrying amount of other identifiable assets within Country A cash-generating unit.</w:t>
      </w:r>
    </w:p>
    <w:p w14:paraId="0F3F43F3" w14:textId="77777777" w:rsidR="00FD397D" w:rsidRDefault="00FD397D" w:rsidP="00D8578A"/>
    <w:p w14:paraId="6FFC0716" w14:textId="0B4C4A1D" w:rsidR="00FD397D" w:rsidRDefault="00FD397D" w:rsidP="00D8578A">
      <w:r>
        <w:t>Tax effects are accounted for separately in accordance with IAS 12.</w:t>
      </w:r>
    </w:p>
    <w:p w14:paraId="343C0DB8" w14:textId="77777777" w:rsidR="00BE1F62" w:rsidRDefault="00BE1F62" w:rsidP="00D8578A"/>
    <w:p w14:paraId="7EE71D5D" w14:textId="7AD93C13" w:rsidR="00BE1F62" w:rsidRDefault="00BE1F62" w:rsidP="00D8578A">
      <w:r w:rsidRPr="00BE1F62">
        <w:rPr>
          <w:i/>
        </w:rPr>
        <w:t>Schedule 2</w:t>
      </w:r>
      <w:r>
        <w:rPr>
          <w:i/>
        </w:rPr>
        <w:t xml:space="preserve"> </w:t>
      </w:r>
      <w:r>
        <w:t xml:space="preserve">Calculation of the value in use of the Country </w:t>
      </w:r>
      <w:proofErr w:type="gramStart"/>
      <w:r>
        <w:t>A</w:t>
      </w:r>
      <w:proofErr w:type="gramEnd"/>
      <w:r>
        <w:t xml:space="preserve"> cash-generating unit at the beginning of 20X2</w:t>
      </w:r>
    </w:p>
    <w:p w14:paraId="32A18E34" w14:textId="77777777" w:rsidR="00BE1F62" w:rsidRPr="00BE1F62" w:rsidRDefault="00BE1F62" w:rsidP="00D857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1703"/>
        <w:gridCol w:w="1703"/>
        <w:gridCol w:w="1703"/>
        <w:gridCol w:w="1704"/>
      </w:tblGrid>
      <w:tr w:rsidR="00CB0680" w14:paraId="4A52DC5E" w14:textId="77777777" w:rsidTr="00C70E8D">
        <w:tc>
          <w:tcPr>
            <w:tcW w:w="1703" w:type="dxa"/>
          </w:tcPr>
          <w:p w14:paraId="2B377E9A" w14:textId="2778F1DF" w:rsidR="00CB0680" w:rsidRDefault="00CB0680" w:rsidP="00D8578A">
            <w:r>
              <w:t>Year</w:t>
            </w:r>
          </w:p>
        </w:tc>
        <w:tc>
          <w:tcPr>
            <w:tcW w:w="1703" w:type="dxa"/>
          </w:tcPr>
          <w:p w14:paraId="65E3B4A0" w14:textId="77777777" w:rsidR="00CB0680" w:rsidRDefault="00CB0680" w:rsidP="00CB0680">
            <w:pPr>
              <w:jc w:val="center"/>
            </w:pPr>
            <w:r>
              <w:t>Long-term</w:t>
            </w:r>
          </w:p>
          <w:p w14:paraId="0B00B2E4" w14:textId="1E09D05B" w:rsidR="00CB0680" w:rsidRDefault="00CB0680" w:rsidP="00CB0680">
            <w:pPr>
              <w:jc w:val="center"/>
            </w:pPr>
            <w:r>
              <w:t>Growth rates</w:t>
            </w:r>
          </w:p>
        </w:tc>
        <w:tc>
          <w:tcPr>
            <w:tcW w:w="1703" w:type="dxa"/>
          </w:tcPr>
          <w:p w14:paraId="798AFA50" w14:textId="77777777" w:rsidR="00CB0680" w:rsidRDefault="00CB0680" w:rsidP="00CB0680">
            <w:pPr>
              <w:jc w:val="right"/>
            </w:pPr>
            <w:r>
              <w:t>Future cash</w:t>
            </w:r>
          </w:p>
          <w:p w14:paraId="34DB793F" w14:textId="35EAE6BA" w:rsidR="00CB0680" w:rsidRDefault="00CB0680" w:rsidP="00CB0680">
            <w:pPr>
              <w:jc w:val="right"/>
            </w:pPr>
            <w:proofErr w:type="gramStart"/>
            <w:r>
              <w:t>flows</w:t>
            </w:r>
            <w:proofErr w:type="gramEnd"/>
          </w:p>
        </w:tc>
        <w:tc>
          <w:tcPr>
            <w:tcW w:w="1703" w:type="dxa"/>
          </w:tcPr>
          <w:p w14:paraId="0FA2398D" w14:textId="77777777" w:rsidR="00CB0680" w:rsidRDefault="00CB0680" w:rsidP="00CB0680">
            <w:pPr>
              <w:jc w:val="right"/>
            </w:pPr>
            <w:r>
              <w:t>Present value</w:t>
            </w:r>
          </w:p>
          <w:p w14:paraId="6380D385" w14:textId="77777777" w:rsidR="00CB0680" w:rsidRDefault="00CB0680" w:rsidP="00CB0680">
            <w:pPr>
              <w:jc w:val="right"/>
            </w:pPr>
            <w:r>
              <w:t>Factor at 15%</w:t>
            </w:r>
          </w:p>
          <w:p w14:paraId="62C72400" w14:textId="5218B6D5" w:rsidR="00CB0680" w:rsidRDefault="00CB0680" w:rsidP="00CB0680">
            <w:pPr>
              <w:jc w:val="right"/>
            </w:pPr>
            <w:r>
              <w:t xml:space="preserve">Discount </w:t>
            </w:r>
            <w:proofErr w:type="spellStart"/>
            <w:r>
              <w:t>rate</w:t>
            </w:r>
            <w:r w:rsidR="001D448D" w:rsidRPr="001D448D">
              <w:rPr>
                <w:vertAlign w:val="superscript"/>
              </w:rPr>
              <w:t>a</w:t>
            </w:r>
            <w:proofErr w:type="spellEnd"/>
          </w:p>
        </w:tc>
        <w:tc>
          <w:tcPr>
            <w:tcW w:w="1704" w:type="dxa"/>
          </w:tcPr>
          <w:p w14:paraId="6636309C" w14:textId="77777777" w:rsidR="00CB0680" w:rsidRDefault="00CB0680" w:rsidP="00CB0680">
            <w:pPr>
              <w:jc w:val="right"/>
            </w:pPr>
            <w:r>
              <w:t>Discounted</w:t>
            </w:r>
          </w:p>
          <w:p w14:paraId="0CBD0419" w14:textId="0C1FB0CE" w:rsidR="00CB0680" w:rsidRDefault="00CB0680" w:rsidP="00CB0680">
            <w:pPr>
              <w:jc w:val="right"/>
            </w:pPr>
            <w:r>
              <w:t>Future cash flows</w:t>
            </w:r>
          </w:p>
        </w:tc>
      </w:tr>
      <w:tr w:rsidR="00CB0680" w14:paraId="2284A735" w14:textId="77777777" w:rsidTr="00C70E8D">
        <w:tc>
          <w:tcPr>
            <w:tcW w:w="1703" w:type="dxa"/>
          </w:tcPr>
          <w:p w14:paraId="67DCDF35" w14:textId="47F3CF86" w:rsidR="00CB0680" w:rsidRDefault="00CB0680" w:rsidP="00D8578A"/>
        </w:tc>
        <w:tc>
          <w:tcPr>
            <w:tcW w:w="1703" w:type="dxa"/>
          </w:tcPr>
          <w:p w14:paraId="1F6BE506" w14:textId="77777777" w:rsidR="00CB0680" w:rsidRDefault="00CB0680" w:rsidP="00CB0680">
            <w:pPr>
              <w:jc w:val="center"/>
            </w:pPr>
          </w:p>
        </w:tc>
        <w:tc>
          <w:tcPr>
            <w:tcW w:w="1703" w:type="dxa"/>
          </w:tcPr>
          <w:p w14:paraId="093DD8D2" w14:textId="36CE89F5" w:rsidR="00CB0680" w:rsidRDefault="00CB0680" w:rsidP="00CB0680">
            <w:pPr>
              <w:jc w:val="right"/>
            </w:pPr>
            <w:r>
              <w:t>CU</w:t>
            </w:r>
          </w:p>
        </w:tc>
        <w:tc>
          <w:tcPr>
            <w:tcW w:w="1703" w:type="dxa"/>
          </w:tcPr>
          <w:p w14:paraId="24B3A843" w14:textId="4F28C76A" w:rsidR="00CB0680" w:rsidRDefault="00CB0680" w:rsidP="00CB0680">
            <w:pPr>
              <w:jc w:val="right"/>
            </w:pPr>
          </w:p>
        </w:tc>
        <w:tc>
          <w:tcPr>
            <w:tcW w:w="1704" w:type="dxa"/>
          </w:tcPr>
          <w:p w14:paraId="1B4AE01E" w14:textId="2C8F3B8B" w:rsidR="00CB0680" w:rsidRDefault="00CB0680" w:rsidP="00CB0680">
            <w:pPr>
              <w:jc w:val="right"/>
            </w:pPr>
            <w:r>
              <w:t>CU</w:t>
            </w:r>
          </w:p>
        </w:tc>
      </w:tr>
      <w:tr w:rsidR="00CB0680" w14:paraId="761BFE8F" w14:textId="77777777" w:rsidTr="00C70E8D">
        <w:tc>
          <w:tcPr>
            <w:tcW w:w="1703" w:type="dxa"/>
          </w:tcPr>
          <w:p w14:paraId="560F5A98" w14:textId="0DEC1E8A" w:rsidR="00CB0680" w:rsidRDefault="00CB0680" w:rsidP="00D8578A">
            <w:r>
              <w:t>20X2</w:t>
            </w:r>
          </w:p>
        </w:tc>
        <w:tc>
          <w:tcPr>
            <w:tcW w:w="1703" w:type="dxa"/>
          </w:tcPr>
          <w:p w14:paraId="261357DB" w14:textId="77777777" w:rsidR="00CB0680" w:rsidRDefault="00CB0680" w:rsidP="00CB0680">
            <w:pPr>
              <w:jc w:val="center"/>
            </w:pPr>
          </w:p>
        </w:tc>
        <w:tc>
          <w:tcPr>
            <w:tcW w:w="1703" w:type="dxa"/>
          </w:tcPr>
          <w:p w14:paraId="4F1E2FD8" w14:textId="34BB9D05" w:rsidR="00CB0680" w:rsidRDefault="00CB0680" w:rsidP="00CB0680">
            <w:pPr>
              <w:jc w:val="right"/>
            </w:pPr>
            <w:r>
              <w:t>230</w:t>
            </w:r>
            <w:r w:rsidRPr="001D448D">
              <w:rPr>
                <w:vertAlign w:val="superscript"/>
              </w:rPr>
              <w:t>b</w:t>
            </w:r>
          </w:p>
        </w:tc>
        <w:tc>
          <w:tcPr>
            <w:tcW w:w="1703" w:type="dxa"/>
          </w:tcPr>
          <w:p w14:paraId="541E4FA7" w14:textId="4E4D8E3E" w:rsidR="00CB0680" w:rsidRDefault="00CB0680" w:rsidP="00CB0680">
            <w:pPr>
              <w:jc w:val="right"/>
            </w:pPr>
            <w:r>
              <w:t>0,86957</w:t>
            </w:r>
          </w:p>
        </w:tc>
        <w:tc>
          <w:tcPr>
            <w:tcW w:w="1704" w:type="dxa"/>
          </w:tcPr>
          <w:p w14:paraId="29E29FDF" w14:textId="5223627D" w:rsidR="00CB0680" w:rsidRDefault="00CB0680" w:rsidP="00CB0680">
            <w:pPr>
              <w:jc w:val="right"/>
            </w:pPr>
            <w:r>
              <w:t>200</w:t>
            </w:r>
          </w:p>
        </w:tc>
      </w:tr>
      <w:tr w:rsidR="00CB0680" w14:paraId="12F45BE8" w14:textId="77777777" w:rsidTr="00C70E8D">
        <w:tc>
          <w:tcPr>
            <w:tcW w:w="1703" w:type="dxa"/>
          </w:tcPr>
          <w:p w14:paraId="2B0197E8" w14:textId="365C3BD9" w:rsidR="00CB0680" w:rsidRDefault="00CB0680" w:rsidP="00D8578A">
            <w:r>
              <w:t>20X3</w:t>
            </w:r>
          </w:p>
        </w:tc>
        <w:tc>
          <w:tcPr>
            <w:tcW w:w="1703" w:type="dxa"/>
          </w:tcPr>
          <w:p w14:paraId="772D5EBE" w14:textId="77777777" w:rsidR="00CB0680" w:rsidRDefault="00CB0680" w:rsidP="00CB0680">
            <w:pPr>
              <w:jc w:val="center"/>
            </w:pPr>
          </w:p>
        </w:tc>
        <w:tc>
          <w:tcPr>
            <w:tcW w:w="1703" w:type="dxa"/>
          </w:tcPr>
          <w:p w14:paraId="22989975" w14:textId="1C83A608" w:rsidR="00CB0680" w:rsidRDefault="00CB0680" w:rsidP="00CB0680">
            <w:pPr>
              <w:jc w:val="right"/>
            </w:pPr>
            <w:r>
              <w:t>253</w:t>
            </w:r>
            <w:r w:rsidRPr="001D448D">
              <w:rPr>
                <w:vertAlign w:val="superscript"/>
              </w:rPr>
              <w:t>b</w:t>
            </w:r>
          </w:p>
        </w:tc>
        <w:tc>
          <w:tcPr>
            <w:tcW w:w="1703" w:type="dxa"/>
          </w:tcPr>
          <w:p w14:paraId="5343EFD9" w14:textId="1056CDB2" w:rsidR="00CB0680" w:rsidRDefault="00CB0680" w:rsidP="00CB0680">
            <w:pPr>
              <w:jc w:val="right"/>
            </w:pPr>
            <w:r>
              <w:t>0,75614</w:t>
            </w:r>
          </w:p>
        </w:tc>
        <w:tc>
          <w:tcPr>
            <w:tcW w:w="1704" w:type="dxa"/>
          </w:tcPr>
          <w:p w14:paraId="70554992" w14:textId="32863372" w:rsidR="00CB0680" w:rsidRDefault="00CB0680" w:rsidP="00CB0680">
            <w:pPr>
              <w:jc w:val="right"/>
            </w:pPr>
            <w:r>
              <w:t>191</w:t>
            </w:r>
          </w:p>
        </w:tc>
      </w:tr>
      <w:tr w:rsidR="00CB0680" w14:paraId="0E35D1A3" w14:textId="77777777" w:rsidTr="00C70E8D">
        <w:tc>
          <w:tcPr>
            <w:tcW w:w="1703" w:type="dxa"/>
          </w:tcPr>
          <w:p w14:paraId="43767C1E" w14:textId="0B70B1A7" w:rsidR="00CB0680" w:rsidRDefault="00CB0680" w:rsidP="00D8578A">
            <w:r>
              <w:t>20X4</w:t>
            </w:r>
          </w:p>
        </w:tc>
        <w:tc>
          <w:tcPr>
            <w:tcW w:w="1703" w:type="dxa"/>
          </w:tcPr>
          <w:p w14:paraId="33846484" w14:textId="77777777" w:rsidR="00CB0680" w:rsidRDefault="00CB0680" w:rsidP="00CB0680">
            <w:pPr>
              <w:jc w:val="center"/>
            </w:pPr>
          </w:p>
        </w:tc>
        <w:tc>
          <w:tcPr>
            <w:tcW w:w="1703" w:type="dxa"/>
          </w:tcPr>
          <w:p w14:paraId="7910D8B8" w14:textId="6DFDE7DC" w:rsidR="00CB0680" w:rsidRDefault="00CB0680" w:rsidP="00CB0680">
            <w:pPr>
              <w:jc w:val="right"/>
            </w:pPr>
            <w:r>
              <w:t>273</w:t>
            </w:r>
            <w:r w:rsidRPr="001D448D">
              <w:rPr>
                <w:vertAlign w:val="superscript"/>
              </w:rPr>
              <w:t>b</w:t>
            </w:r>
          </w:p>
        </w:tc>
        <w:tc>
          <w:tcPr>
            <w:tcW w:w="1703" w:type="dxa"/>
          </w:tcPr>
          <w:p w14:paraId="1656F099" w14:textId="6D1DF217" w:rsidR="00CB0680" w:rsidRDefault="00CB0680" w:rsidP="00CB0680">
            <w:pPr>
              <w:jc w:val="right"/>
            </w:pPr>
            <w:r>
              <w:t>0,65752</w:t>
            </w:r>
          </w:p>
        </w:tc>
        <w:tc>
          <w:tcPr>
            <w:tcW w:w="1704" w:type="dxa"/>
          </w:tcPr>
          <w:p w14:paraId="2058EAD6" w14:textId="617074AE" w:rsidR="00CB0680" w:rsidRDefault="00CB0680" w:rsidP="00CB0680">
            <w:pPr>
              <w:jc w:val="right"/>
            </w:pPr>
            <w:r>
              <w:t>180</w:t>
            </w:r>
          </w:p>
        </w:tc>
      </w:tr>
      <w:tr w:rsidR="00CB0680" w14:paraId="354D522F" w14:textId="77777777" w:rsidTr="00C70E8D">
        <w:tc>
          <w:tcPr>
            <w:tcW w:w="1703" w:type="dxa"/>
          </w:tcPr>
          <w:p w14:paraId="41B80F0A" w14:textId="7D5C0185" w:rsidR="00CB0680" w:rsidRDefault="00CB0680" w:rsidP="00D8578A">
            <w:r>
              <w:t>20X5</w:t>
            </w:r>
          </w:p>
        </w:tc>
        <w:tc>
          <w:tcPr>
            <w:tcW w:w="1703" w:type="dxa"/>
          </w:tcPr>
          <w:p w14:paraId="4D25CEA5" w14:textId="77777777" w:rsidR="00CB0680" w:rsidRDefault="00CB0680" w:rsidP="00CB0680">
            <w:pPr>
              <w:jc w:val="center"/>
            </w:pPr>
          </w:p>
        </w:tc>
        <w:tc>
          <w:tcPr>
            <w:tcW w:w="1703" w:type="dxa"/>
          </w:tcPr>
          <w:p w14:paraId="3E756BE1" w14:textId="40B4C202" w:rsidR="00CB0680" w:rsidRDefault="00CB0680" w:rsidP="00CB0680">
            <w:pPr>
              <w:jc w:val="right"/>
            </w:pPr>
            <w:r>
              <w:t>290</w:t>
            </w:r>
            <w:r w:rsidRPr="001D448D">
              <w:rPr>
                <w:vertAlign w:val="superscript"/>
              </w:rPr>
              <w:t>b</w:t>
            </w:r>
          </w:p>
        </w:tc>
        <w:tc>
          <w:tcPr>
            <w:tcW w:w="1703" w:type="dxa"/>
          </w:tcPr>
          <w:p w14:paraId="39B86BB5" w14:textId="30DD40B0" w:rsidR="00CB0680" w:rsidRDefault="00CB0680" w:rsidP="00CB0680">
            <w:pPr>
              <w:jc w:val="right"/>
            </w:pPr>
            <w:r>
              <w:t>0,57175</w:t>
            </w:r>
          </w:p>
        </w:tc>
        <w:tc>
          <w:tcPr>
            <w:tcW w:w="1704" w:type="dxa"/>
          </w:tcPr>
          <w:p w14:paraId="7308D7D7" w14:textId="32391001" w:rsidR="00CB0680" w:rsidRDefault="00CB0680" w:rsidP="00CB0680">
            <w:pPr>
              <w:jc w:val="right"/>
            </w:pPr>
            <w:r>
              <w:t>166</w:t>
            </w:r>
          </w:p>
        </w:tc>
      </w:tr>
      <w:tr w:rsidR="00CB0680" w14:paraId="43F21138" w14:textId="77777777" w:rsidTr="00C70E8D">
        <w:tc>
          <w:tcPr>
            <w:tcW w:w="1703" w:type="dxa"/>
          </w:tcPr>
          <w:p w14:paraId="7256B14F" w14:textId="4DB351D0" w:rsidR="00CB0680" w:rsidRDefault="00CB0680" w:rsidP="00D8578A">
            <w:r>
              <w:t>20X6</w:t>
            </w:r>
          </w:p>
        </w:tc>
        <w:tc>
          <w:tcPr>
            <w:tcW w:w="1703" w:type="dxa"/>
          </w:tcPr>
          <w:p w14:paraId="02DD148C" w14:textId="77777777" w:rsidR="00CB0680" w:rsidRDefault="00CB0680" w:rsidP="00CB0680">
            <w:pPr>
              <w:jc w:val="center"/>
            </w:pPr>
          </w:p>
        </w:tc>
        <w:tc>
          <w:tcPr>
            <w:tcW w:w="1703" w:type="dxa"/>
          </w:tcPr>
          <w:p w14:paraId="7669E140" w14:textId="71839912" w:rsidR="00CB0680" w:rsidRDefault="00CB0680" w:rsidP="00CB0680">
            <w:pPr>
              <w:jc w:val="right"/>
            </w:pPr>
            <w:r>
              <w:t>304</w:t>
            </w:r>
            <w:r w:rsidRPr="001D448D">
              <w:rPr>
                <w:vertAlign w:val="superscript"/>
              </w:rPr>
              <w:t>b</w:t>
            </w:r>
          </w:p>
        </w:tc>
        <w:tc>
          <w:tcPr>
            <w:tcW w:w="1703" w:type="dxa"/>
          </w:tcPr>
          <w:p w14:paraId="56F33C67" w14:textId="33075BCE" w:rsidR="00CB0680" w:rsidRDefault="00CB0680" w:rsidP="00CB0680">
            <w:pPr>
              <w:jc w:val="right"/>
            </w:pPr>
            <w:r>
              <w:t>0,49718</w:t>
            </w:r>
          </w:p>
        </w:tc>
        <w:tc>
          <w:tcPr>
            <w:tcW w:w="1704" w:type="dxa"/>
          </w:tcPr>
          <w:p w14:paraId="4C611867" w14:textId="5227B334" w:rsidR="00CB0680" w:rsidRDefault="00CB0680" w:rsidP="00CB0680">
            <w:pPr>
              <w:jc w:val="right"/>
            </w:pPr>
            <w:r>
              <w:t>151</w:t>
            </w:r>
          </w:p>
        </w:tc>
      </w:tr>
      <w:tr w:rsidR="00CB0680" w14:paraId="1708A8AB" w14:textId="77777777" w:rsidTr="00C70E8D">
        <w:tc>
          <w:tcPr>
            <w:tcW w:w="1703" w:type="dxa"/>
          </w:tcPr>
          <w:p w14:paraId="388B571A" w14:textId="73567432" w:rsidR="00CB0680" w:rsidRDefault="00CB0680" w:rsidP="00D8578A">
            <w:r>
              <w:t>20X7</w:t>
            </w:r>
          </w:p>
        </w:tc>
        <w:tc>
          <w:tcPr>
            <w:tcW w:w="1703" w:type="dxa"/>
          </w:tcPr>
          <w:p w14:paraId="54995E68" w14:textId="50B2B53A" w:rsidR="00CB0680" w:rsidRDefault="00CB0680" w:rsidP="00CB0680">
            <w:pPr>
              <w:jc w:val="center"/>
            </w:pPr>
            <w:r>
              <w:t>3%</w:t>
            </w:r>
          </w:p>
        </w:tc>
        <w:tc>
          <w:tcPr>
            <w:tcW w:w="1703" w:type="dxa"/>
          </w:tcPr>
          <w:p w14:paraId="1AC78D15" w14:textId="249F25B3" w:rsidR="00CB0680" w:rsidRDefault="00CB0680" w:rsidP="00CB0680">
            <w:pPr>
              <w:jc w:val="right"/>
            </w:pPr>
            <w:r>
              <w:t>313</w:t>
            </w:r>
            <w:r w:rsidRPr="001D448D">
              <w:rPr>
                <w:vertAlign w:val="superscript"/>
              </w:rPr>
              <w:t>c</w:t>
            </w:r>
          </w:p>
        </w:tc>
        <w:tc>
          <w:tcPr>
            <w:tcW w:w="1703" w:type="dxa"/>
          </w:tcPr>
          <w:p w14:paraId="747C152D" w14:textId="3C59CCB2" w:rsidR="00CB0680" w:rsidRDefault="00CB0680" w:rsidP="00CB0680">
            <w:pPr>
              <w:jc w:val="right"/>
            </w:pPr>
            <w:r>
              <w:t>0,43233</w:t>
            </w:r>
          </w:p>
        </w:tc>
        <w:tc>
          <w:tcPr>
            <w:tcW w:w="1704" w:type="dxa"/>
          </w:tcPr>
          <w:p w14:paraId="5745422D" w14:textId="5812BE9C" w:rsidR="00CB0680" w:rsidRDefault="00CB0680" w:rsidP="00CB0680">
            <w:pPr>
              <w:jc w:val="right"/>
            </w:pPr>
            <w:r>
              <w:t>135</w:t>
            </w:r>
          </w:p>
        </w:tc>
      </w:tr>
      <w:tr w:rsidR="00CB0680" w14:paraId="51B17D45" w14:textId="77777777" w:rsidTr="00C70E8D">
        <w:tc>
          <w:tcPr>
            <w:tcW w:w="1703" w:type="dxa"/>
          </w:tcPr>
          <w:p w14:paraId="423B6650" w14:textId="56B4A7FC" w:rsidR="00CB0680" w:rsidRDefault="00CB0680" w:rsidP="00D8578A">
            <w:r>
              <w:t>20X8</w:t>
            </w:r>
          </w:p>
        </w:tc>
        <w:tc>
          <w:tcPr>
            <w:tcW w:w="1703" w:type="dxa"/>
          </w:tcPr>
          <w:p w14:paraId="7BD0DBC2" w14:textId="0F7328FF" w:rsidR="00CB0680" w:rsidRDefault="00CB0680" w:rsidP="00CB0680">
            <w:pPr>
              <w:jc w:val="center"/>
            </w:pPr>
            <w:r>
              <w:t>(2)%</w:t>
            </w:r>
          </w:p>
        </w:tc>
        <w:tc>
          <w:tcPr>
            <w:tcW w:w="1703" w:type="dxa"/>
          </w:tcPr>
          <w:p w14:paraId="168B935F" w14:textId="3495D425" w:rsidR="00CB0680" w:rsidRDefault="00CB0680" w:rsidP="00CB0680">
            <w:pPr>
              <w:jc w:val="right"/>
            </w:pPr>
            <w:r>
              <w:t>307</w:t>
            </w:r>
            <w:r w:rsidRPr="001D448D">
              <w:rPr>
                <w:vertAlign w:val="superscript"/>
              </w:rPr>
              <w:t>c</w:t>
            </w:r>
          </w:p>
        </w:tc>
        <w:tc>
          <w:tcPr>
            <w:tcW w:w="1703" w:type="dxa"/>
          </w:tcPr>
          <w:p w14:paraId="03A15A97" w14:textId="5C0EA0DA" w:rsidR="00CB0680" w:rsidRDefault="00CB0680" w:rsidP="00CB0680">
            <w:pPr>
              <w:jc w:val="right"/>
            </w:pPr>
            <w:r>
              <w:t>0,37594</w:t>
            </w:r>
          </w:p>
        </w:tc>
        <w:tc>
          <w:tcPr>
            <w:tcW w:w="1704" w:type="dxa"/>
          </w:tcPr>
          <w:p w14:paraId="601CF35F" w14:textId="62275603" w:rsidR="00CB0680" w:rsidRDefault="00CB0680" w:rsidP="00CB0680">
            <w:pPr>
              <w:jc w:val="right"/>
            </w:pPr>
            <w:r>
              <w:t>115</w:t>
            </w:r>
          </w:p>
        </w:tc>
      </w:tr>
      <w:tr w:rsidR="00CB0680" w14:paraId="4A4807D5" w14:textId="77777777" w:rsidTr="00C70E8D">
        <w:tc>
          <w:tcPr>
            <w:tcW w:w="1703" w:type="dxa"/>
          </w:tcPr>
          <w:p w14:paraId="211FA047" w14:textId="6B9D5845" w:rsidR="00CB0680" w:rsidRDefault="00CB0680" w:rsidP="00D8578A">
            <w:r>
              <w:t>20X9</w:t>
            </w:r>
          </w:p>
        </w:tc>
        <w:tc>
          <w:tcPr>
            <w:tcW w:w="1703" w:type="dxa"/>
          </w:tcPr>
          <w:p w14:paraId="55547FF6" w14:textId="4FF86D2B" w:rsidR="00CB0680" w:rsidRDefault="00CB0680" w:rsidP="00CB0680">
            <w:pPr>
              <w:jc w:val="center"/>
            </w:pPr>
            <w:r>
              <w:t>(6)%</w:t>
            </w:r>
          </w:p>
        </w:tc>
        <w:tc>
          <w:tcPr>
            <w:tcW w:w="1703" w:type="dxa"/>
          </w:tcPr>
          <w:p w14:paraId="25BDD4BD" w14:textId="3ACCD04B" w:rsidR="00CB0680" w:rsidRDefault="00CB0680" w:rsidP="00CB0680">
            <w:pPr>
              <w:jc w:val="right"/>
            </w:pPr>
            <w:r>
              <w:t>289</w:t>
            </w:r>
            <w:r w:rsidRPr="001D448D">
              <w:rPr>
                <w:vertAlign w:val="superscript"/>
              </w:rPr>
              <w:t>c</w:t>
            </w:r>
          </w:p>
        </w:tc>
        <w:tc>
          <w:tcPr>
            <w:tcW w:w="1703" w:type="dxa"/>
          </w:tcPr>
          <w:p w14:paraId="7E971E5D" w14:textId="383DC362" w:rsidR="00CB0680" w:rsidRDefault="00CB0680" w:rsidP="00CB0680">
            <w:pPr>
              <w:jc w:val="right"/>
            </w:pPr>
            <w:r>
              <w:t>0,32690</w:t>
            </w:r>
          </w:p>
        </w:tc>
        <w:tc>
          <w:tcPr>
            <w:tcW w:w="1704" w:type="dxa"/>
          </w:tcPr>
          <w:p w14:paraId="0674CF79" w14:textId="1A1BAE26" w:rsidR="00CB0680" w:rsidRDefault="00CB0680" w:rsidP="00CB0680">
            <w:pPr>
              <w:jc w:val="right"/>
            </w:pPr>
            <w:r>
              <w:t>94</w:t>
            </w:r>
          </w:p>
        </w:tc>
      </w:tr>
      <w:tr w:rsidR="00CB0680" w14:paraId="70BB09D9" w14:textId="77777777" w:rsidTr="00C70E8D">
        <w:tc>
          <w:tcPr>
            <w:tcW w:w="1703" w:type="dxa"/>
          </w:tcPr>
          <w:p w14:paraId="48615D08" w14:textId="0E503439" w:rsidR="00CB0680" w:rsidRDefault="00CB0680" w:rsidP="00D8578A">
            <w:r>
              <w:t>20Y0</w:t>
            </w:r>
          </w:p>
        </w:tc>
        <w:tc>
          <w:tcPr>
            <w:tcW w:w="1703" w:type="dxa"/>
          </w:tcPr>
          <w:p w14:paraId="5A3ACFE6" w14:textId="0880DCBF" w:rsidR="00CB0680" w:rsidRDefault="00CB0680" w:rsidP="00CB0680">
            <w:pPr>
              <w:jc w:val="center"/>
            </w:pPr>
            <w:r>
              <w:t>(15)%</w:t>
            </w:r>
          </w:p>
        </w:tc>
        <w:tc>
          <w:tcPr>
            <w:tcW w:w="1703" w:type="dxa"/>
          </w:tcPr>
          <w:p w14:paraId="1D469C26" w14:textId="133B6F77" w:rsidR="00CB0680" w:rsidRDefault="00CB0680" w:rsidP="00CB0680">
            <w:pPr>
              <w:jc w:val="right"/>
            </w:pPr>
            <w:r>
              <w:t>245</w:t>
            </w:r>
            <w:r w:rsidRPr="001D448D">
              <w:rPr>
                <w:vertAlign w:val="superscript"/>
              </w:rPr>
              <w:t>c</w:t>
            </w:r>
          </w:p>
        </w:tc>
        <w:tc>
          <w:tcPr>
            <w:tcW w:w="1703" w:type="dxa"/>
          </w:tcPr>
          <w:p w14:paraId="38E11F5E" w14:textId="347D4791" w:rsidR="00CB0680" w:rsidRDefault="00CB0680" w:rsidP="00CB0680">
            <w:pPr>
              <w:jc w:val="right"/>
            </w:pPr>
            <w:r>
              <w:t>0,28426</w:t>
            </w:r>
          </w:p>
        </w:tc>
        <w:tc>
          <w:tcPr>
            <w:tcW w:w="1704" w:type="dxa"/>
          </w:tcPr>
          <w:p w14:paraId="2F7D3084" w14:textId="32F4A15A" w:rsidR="00CB0680" w:rsidRDefault="00CB0680" w:rsidP="00CB0680">
            <w:pPr>
              <w:jc w:val="right"/>
            </w:pPr>
            <w:r>
              <w:t>70</w:t>
            </w:r>
          </w:p>
        </w:tc>
      </w:tr>
      <w:tr w:rsidR="00CB0680" w14:paraId="386C302A" w14:textId="77777777" w:rsidTr="00C70E8D">
        <w:tc>
          <w:tcPr>
            <w:tcW w:w="1703" w:type="dxa"/>
          </w:tcPr>
          <w:p w14:paraId="5275B820" w14:textId="35F02A93" w:rsidR="00CB0680" w:rsidRDefault="00CB0680" w:rsidP="00D8578A">
            <w:r>
              <w:t>20Y1</w:t>
            </w:r>
          </w:p>
        </w:tc>
        <w:tc>
          <w:tcPr>
            <w:tcW w:w="1703" w:type="dxa"/>
          </w:tcPr>
          <w:p w14:paraId="09258BDB" w14:textId="52A141DC" w:rsidR="00CB0680" w:rsidRDefault="00CB0680" w:rsidP="00CB0680">
            <w:pPr>
              <w:jc w:val="center"/>
            </w:pPr>
            <w:r>
              <w:t>(25)%</w:t>
            </w:r>
          </w:p>
        </w:tc>
        <w:tc>
          <w:tcPr>
            <w:tcW w:w="1703" w:type="dxa"/>
          </w:tcPr>
          <w:p w14:paraId="0072F713" w14:textId="6A2FE3F2" w:rsidR="00CB0680" w:rsidRDefault="00CB0680" w:rsidP="00CB0680">
            <w:pPr>
              <w:jc w:val="right"/>
            </w:pPr>
            <w:r>
              <w:t>184</w:t>
            </w:r>
            <w:r w:rsidRPr="001D448D">
              <w:rPr>
                <w:vertAlign w:val="superscript"/>
              </w:rPr>
              <w:t>c</w:t>
            </w:r>
          </w:p>
        </w:tc>
        <w:tc>
          <w:tcPr>
            <w:tcW w:w="1703" w:type="dxa"/>
          </w:tcPr>
          <w:p w14:paraId="557D5550" w14:textId="452F4BA9" w:rsidR="00CB0680" w:rsidRDefault="00CB0680" w:rsidP="00CB0680">
            <w:pPr>
              <w:jc w:val="right"/>
            </w:pPr>
            <w:r>
              <w:t>0,24719</w:t>
            </w:r>
          </w:p>
        </w:tc>
        <w:tc>
          <w:tcPr>
            <w:tcW w:w="1704" w:type="dxa"/>
          </w:tcPr>
          <w:p w14:paraId="443ECDDB" w14:textId="6DDEC05A" w:rsidR="00CB0680" w:rsidRDefault="00CB0680" w:rsidP="00CB0680">
            <w:pPr>
              <w:jc w:val="right"/>
            </w:pPr>
            <w:r>
              <w:t>45</w:t>
            </w:r>
          </w:p>
        </w:tc>
      </w:tr>
      <w:tr w:rsidR="00CB0680" w14:paraId="38AD4E75" w14:textId="77777777" w:rsidTr="00C70E8D">
        <w:tc>
          <w:tcPr>
            <w:tcW w:w="1703" w:type="dxa"/>
          </w:tcPr>
          <w:p w14:paraId="29807A6D" w14:textId="599E2843" w:rsidR="00CB0680" w:rsidRDefault="00CB0680" w:rsidP="00D8578A">
            <w:r>
              <w:t>20Y2</w:t>
            </w:r>
          </w:p>
        </w:tc>
        <w:tc>
          <w:tcPr>
            <w:tcW w:w="1703" w:type="dxa"/>
          </w:tcPr>
          <w:p w14:paraId="40E55FCB" w14:textId="0F6870CA" w:rsidR="00CB0680" w:rsidRDefault="00CB0680" w:rsidP="00CB0680">
            <w:pPr>
              <w:jc w:val="center"/>
            </w:pPr>
            <w:r>
              <w:t>(67)%</w:t>
            </w:r>
          </w:p>
        </w:tc>
        <w:tc>
          <w:tcPr>
            <w:tcW w:w="1703" w:type="dxa"/>
          </w:tcPr>
          <w:p w14:paraId="3A98D16D" w14:textId="4A48B233" w:rsidR="00CB0680" w:rsidRDefault="00CB0680" w:rsidP="00CB0680">
            <w:pPr>
              <w:jc w:val="right"/>
            </w:pPr>
            <w:r>
              <w:t>61</w:t>
            </w:r>
            <w:r w:rsidRPr="001D448D">
              <w:rPr>
                <w:vertAlign w:val="superscript"/>
              </w:rPr>
              <w:t>c</w:t>
            </w:r>
          </w:p>
        </w:tc>
        <w:tc>
          <w:tcPr>
            <w:tcW w:w="1703" w:type="dxa"/>
          </w:tcPr>
          <w:p w14:paraId="13A724E8" w14:textId="42765EE6" w:rsidR="00CB0680" w:rsidRDefault="00CB0680" w:rsidP="00CB0680">
            <w:pPr>
              <w:jc w:val="right"/>
            </w:pPr>
            <w:r>
              <w:t>0,2149</w:t>
            </w:r>
          </w:p>
        </w:tc>
        <w:tc>
          <w:tcPr>
            <w:tcW w:w="1704" w:type="dxa"/>
            <w:tcBorders>
              <w:bottom w:val="single" w:sz="4" w:space="0" w:color="auto"/>
            </w:tcBorders>
          </w:tcPr>
          <w:p w14:paraId="0E3F97C0" w14:textId="1586218D" w:rsidR="00CB0680" w:rsidRDefault="00CB0680" w:rsidP="00CB0680">
            <w:pPr>
              <w:jc w:val="right"/>
            </w:pPr>
            <w:r>
              <w:t>13</w:t>
            </w:r>
          </w:p>
        </w:tc>
      </w:tr>
      <w:tr w:rsidR="00CB0680" w14:paraId="7E13A17A" w14:textId="77777777" w:rsidTr="00C70E8D">
        <w:tc>
          <w:tcPr>
            <w:tcW w:w="1703" w:type="dxa"/>
          </w:tcPr>
          <w:p w14:paraId="6BA7B0B3" w14:textId="35090B0F" w:rsidR="00CB0680" w:rsidRDefault="00CB0680" w:rsidP="00D8578A"/>
        </w:tc>
        <w:tc>
          <w:tcPr>
            <w:tcW w:w="1703" w:type="dxa"/>
          </w:tcPr>
          <w:p w14:paraId="1B32A6D6" w14:textId="77777777" w:rsidR="00CB0680" w:rsidRDefault="00CB0680" w:rsidP="00CB0680">
            <w:pPr>
              <w:jc w:val="center"/>
            </w:pPr>
          </w:p>
        </w:tc>
        <w:tc>
          <w:tcPr>
            <w:tcW w:w="1703" w:type="dxa"/>
          </w:tcPr>
          <w:p w14:paraId="01371120" w14:textId="77777777" w:rsidR="00CB0680" w:rsidRDefault="00CB0680" w:rsidP="00CB0680">
            <w:pPr>
              <w:jc w:val="right"/>
            </w:pPr>
          </w:p>
        </w:tc>
        <w:tc>
          <w:tcPr>
            <w:tcW w:w="1703" w:type="dxa"/>
          </w:tcPr>
          <w:p w14:paraId="3898A0A3" w14:textId="77777777" w:rsidR="00CB0680" w:rsidRDefault="00CB0680" w:rsidP="00CB0680">
            <w:pPr>
              <w:jc w:val="right"/>
            </w:pPr>
          </w:p>
        </w:tc>
        <w:tc>
          <w:tcPr>
            <w:tcW w:w="1704" w:type="dxa"/>
            <w:tcBorders>
              <w:top w:val="single" w:sz="4" w:space="0" w:color="auto"/>
            </w:tcBorders>
          </w:tcPr>
          <w:p w14:paraId="525766E8" w14:textId="55C1E494" w:rsidR="00CB0680" w:rsidRDefault="00CB0680" w:rsidP="00CB0680">
            <w:pPr>
              <w:jc w:val="right"/>
            </w:pPr>
            <w:r>
              <w:t>1,360</w:t>
            </w:r>
          </w:p>
        </w:tc>
      </w:tr>
    </w:tbl>
    <w:p w14:paraId="035E6A9B" w14:textId="77777777" w:rsidR="00BE1F62" w:rsidRDefault="00BE1F62" w:rsidP="00D8578A"/>
    <w:p w14:paraId="1A809675" w14:textId="6B1DFA94" w:rsidR="001D448D" w:rsidRDefault="001D448D" w:rsidP="00D8578A">
      <w:proofErr w:type="gramStart"/>
      <w:r w:rsidRPr="001D448D">
        <w:rPr>
          <w:vertAlign w:val="superscript"/>
        </w:rPr>
        <w:t>a</w:t>
      </w:r>
      <w:r>
        <w:rPr>
          <w:vertAlign w:val="superscript"/>
        </w:rPr>
        <w:t xml:space="preserve"> </w:t>
      </w:r>
      <w:r w:rsidR="008706E8">
        <w:rPr>
          <w:vertAlign w:val="superscript"/>
        </w:rPr>
        <w:t xml:space="preserve"> </w:t>
      </w:r>
      <w:r w:rsidRPr="001D448D">
        <w:t>The</w:t>
      </w:r>
      <w:proofErr w:type="gramEnd"/>
      <w:r>
        <w:t xml:space="preserve"> present value factor is calculated as k = 1/(1+a)</w:t>
      </w:r>
      <w:r w:rsidRPr="001D448D">
        <w:rPr>
          <w:vertAlign w:val="superscript"/>
        </w:rPr>
        <w:t>n</w:t>
      </w:r>
      <w:r>
        <w:t xml:space="preserve"> where a = the discount rate and n = period of discount.</w:t>
      </w:r>
    </w:p>
    <w:p w14:paraId="1AAAAB91" w14:textId="3A1C4F60" w:rsidR="008706E8" w:rsidRDefault="008706E8" w:rsidP="00D8578A">
      <w:proofErr w:type="gramStart"/>
      <w:r w:rsidRPr="008706E8">
        <w:rPr>
          <w:vertAlign w:val="superscript"/>
        </w:rPr>
        <w:t>b</w:t>
      </w:r>
      <w:r>
        <w:rPr>
          <w:vertAlign w:val="superscript"/>
        </w:rPr>
        <w:t xml:space="preserve">  </w:t>
      </w:r>
      <w:r>
        <w:t>Based</w:t>
      </w:r>
      <w:proofErr w:type="gramEnd"/>
      <w:r>
        <w:t xml:space="preserve"> on management’s best estimate of net cash flow projections (after the 40% cut)</w:t>
      </w:r>
    </w:p>
    <w:p w14:paraId="0AE899A6" w14:textId="5D00C4D2" w:rsidR="008706E8" w:rsidRDefault="008706E8" w:rsidP="00D8578A">
      <w:proofErr w:type="gramStart"/>
      <w:r w:rsidRPr="008706E8">
        <w:rPr>
          <w:sz w:val="28"/>
          <w:vertAlign w:val="superscript"/>
        </w:rPr>
        <w:t>c</w:t>
      </w:r>
      <w:proofErr w:type="gramEnd"/>
      <w:r>
        <w:rPr>
          <w:sz w:val="28"/>
        </w:rPr>
        <w:t xml:space="preserve"> </w:t>
      </w:r>
      <w:r>
        <w:t>Based on an extrapolation from preceding year cash flow using declining growth rates.</w:t>
      </w:r>
    </w:p>
    <w:p w14:paraId="48FAEA71" w14:textId="243BCB87" w:rsidR="00797536" w:rsidRDefault="00797536">
      <w:r>
        <w:br w:type="page"/>
      </w:r>
    </w:p>
    <w:p w14:paraId="24FBD1A3" w14:textId="77777777" w:rsidR="008706E8" w:rsidRDefault="008706E8" w:rsidP="00D8578A"/>
    <w:p w14:paraId="018B88FB" w14:textId="74B8956B" w:rsidR="008706E8" w:rsidRDefault="008706E8" w:rsidP="00D8578A">
      <w:r w:rsidRPr="008706E8">
        <w:rPr>
          <w:i/>
        </w:rPr>
        <w:t xml:space="preserve">Schedule 3. </w:t>
      </w:r>
      <w:proofErr w:type="gramStart"/>
      <w:r w:rsidR="00797536">
        <w:t>Calculation and allocation of the impairment loss for the Country A cash-generating unit at the beginning of 20X2.</w:t>
      </w:r>
      <w:proofErr w:type="gramEnd"/>
    </w:p>
    <w:p w14:paraId="706BDADF" w14:textId="77777777" w:rsidR="00797536" w:rsidRDefault="00797536" w:rsidP="00D857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701"/>
        <w:gridCol w:w="1701"/>
        <w:gridCol w:w="1462"/>
      </w:tblGrid>
      <w:tr w:rsidR="00797536" w14:paraId="4CF0C4C3" w14:textId="77777777" w:rsidTr="00F57A94">
        <w:tc>
          <w:tcPr>
            <w:tcW w:w="3652" w:type="dxa"/>
          </w:tcPr>
          <w:p w14:paraId="7E318E95" w14:textId="23262437" w:rsidR="00797536" w:rsidRPr="00797536" w:rsidRDefault="00797536" w:rsidP="00D8578A">
            <w:r w:rsidRPr="00797536">
              <w:t>Beginning of 20X2</w:t>
            </w:r>
          </w:p>
        </w:tc>
        <w:tc>
          <w:tcPr>
            <w:tcW w:w="1701" w:type="dxa"/>
          </w:tcPr>
          <w:p w14:paraId="4E37DFD7" w14:textId="2E92824F" w:rsidR="00797536" w:rsidRPr="00797536" w:rsidRDefault="00797536" w:rsidP="00797536">
            <w:pPr>
              <w:jc w:val="right"/>
            </w:pPr>
            <w:r w:rsidRPr="00797536">
              <w:t>Goodwill</w:t>
            </w:r>
          </w:p>
        </w:tc>
        <w:tc>
          <w:tcPr>
            <w:tcW w:w="1701" w:type="dxa"/>
          </w:tcPr>
          <w:p w14:paraId="459DEC30" w14:textId="77777777" w:rsidR="00797536" w:rsidRPr="00797536" w:rsidRDefault="00797536" w:rsidP="00797536">
            <w:pPr>
              <w:jc w:val="right"/>
            </w:pPr>
            <w:r w:rsidRPr="00797536">
              <w:t>Identifiable</w:t>
            </w:r>
          </w:p>
          <w:p w14:paraId="509322BB" w14:textId="3DFCAED2" w:rsidR="00797536" w:rsidRPr="00797536" w:rsidRDefault="00797536" w:rsidP="00797536">
            <w:pPr>
              <w:jc w:val="right"/>
            </w:pPr>
            <w:proofErr w:type="gramStart"/>
            <w:r w:rsidRPr="00797536">
              <w:t>assets</w:t>
            </w:r>
            <w:proofErr w:type="gramEnd"/>
          </w:p>
        </w:tc>
        <w:tc>
          <w:tcPr>
            <w:tcW w:w="1462" w:type="dxa"/>
          </w:tcPr>
          <w:p w14:paraId="37A841CA" w14:textId="21CB84C2" w:rsidR="00797536" w:rsidRPr="00797536" w:rsidRDefault="00797536" w:rsidP="00797536">
            <w:pPr>
              <w:jc w:val="right"/>
            </w:pPr>
            <w:r w:rsidRPr="00797536">
              <w:t>Total</w:t>
            </w:r>
          </w:p>
        </w:tc>
      </w:tr>
      <w:tr w:rsidR="00797536" w14:paraId="07BBDD1D" w14:textId="77777777" w:rsidTr="00F57A94">
        <w:tc>
          <w:tcPr>
            <w:tcW w:w="3652" w:type="dxa"/>
          </w:tcPr>
          <w:p w14:paraId="4BB959A3" w14:textId="2813C669" w:rsidR="00797536" w:rsidRPr="00797536" w:rsidRDefault="00797536" w:rsidP="00D8578A"/>
        </w:tc>
        <w:tc>
          <w:tcPr>
            <w:tcW w:w="1701" w:type="dxa"/>
          </w:tcPr>
          <w:p w14:paraId="20B0922A" w14:textId="75612EB4" w:rsidR="00797536" w:rsidRPr="00797536" w:rsidRDefault="00797536" w:rsidP="00797536">
            <w:pPr>
              <w:jc w:val="right"/>
            </w:pPr>
            <w:r>
              <w:t>CU</w:t>
            </w:r>
          </w:p>
        </w:tc>
        <w:tc>
          <w:tcPr>
            <w:tcW w:w="1701" w:type="dxa"/>
          </w:tcPr>
          <w:p w14:paraId="30E427D4" w14:textId="2C49931F" w:rsidR="00797536" w:rsidRPr="00797536" w:rsidRDefault="00797536" w:rsidP="00797536">
            <w:pPr>
              <w:jc w:val="right"/>
            </w:pPr>
            <w:r>
              <w:t>CU</w:t>
            </w:r>
          </w:p>
        </w:tc>
        <w:tc>
          <w:tcPr>
            <w:tcW w:w="1462" w:type="dxa"/>
          </w:tcPr>
          <w:p w14:paraId="3BD8D04D" w14:textId="1D9DDD1D" w:rsidR="00797536" w:rsidRPr="00797536" w:rsidRDefault="00797536" w:rsidP="00797536">
            <w:pPr>
              <w:jc w:val="right"/>
            </w:pPr>
            <w:r>
              <w:t>CU</w:t>
            </w:r>
          </w:p>
        </w:tc>
      </w:tr>
      <w:tr w:rsidR="00797536" w14:paraId="63C03BEA" w14:textId="77777777" w:rsidTr="00F57A94">
        <w:tc>
          <w:tcPr>
            <w:tcW w:w="3652" w:type="dxa"/>
          </w:tcPr>
          <w:p w14:paraId="4D1E4B6B" w14:textId="19AF71C7" w:rsidR="00797536" w:rsidRPr="00797536" w:rsidRDefault="00797536" w:rsidP="00D8578A">
            <w:r>
              <w:t>Historical cost</w:t>
            </w:r>
          </w:p>
        </w:tc>
        <w:tc>
          <w:tcPr>
            <w:tcW w:w="1701" w:type="dxa"/>
          </w:tcPr>
          <w:p w14:paraId="1E403651" w14:textId="6134A3BB" w:rsidR="00797536" w:rsidRPr="00797536" w:rsidRDefault="00797536" w:rsidP="00797536">
            <w:pPr>
              <w:jc w:val="right"/>
            </w:pPr>
            <w:r>
              <w:t>1,000</w:t>
            </w:r>
          </w:p>
        </w:tc>
        <w:tc>
          <w:tcPr>
            <w:tcW w:w="1701" w:type="dxa"/>
          </w:tcPr>
          <w:p w14:paraId="2070913A" w14:textId="3B7A1892" w:rsidR="00797536" w:rsidRPr="00797536" w:rsidRDefault="00797536" w:rsidP="00797536">
            <w:pPr>
              <w:jc w:val="right"/>
            </w:pPr>
            <w:r>
              <w:t>2,000</w:t>
            </w:r>
          </w:p>
        </w:tc>
        <w:tc>
          <w:tcPr>
            <w:tcW w:w="1462" w:type="dxa"/>
          </w:tcPr>
          <w:p w14:paraId="198022B5" w14:textId="560D787F" w:rsidR="00797536" w:rsidRPr="00797536" w:rsidRDefault="00797536" w:rsidP="00797536">
            <w:pPr>
              <w:jc w:val="right"/>
            </w:pPr>
            <w:r>
              <w:t>3,000</w:t>
            </w:r>
          </w:p>
        </w:tc>
      </w:tr>
      <w:tr w:rsidR="00797536" w14:paraId="7EE2625C" w14:textId="77777777" w:rsidTr="00F57A94">
        <w:tc>
          <w:tcPr>
            <w:tcW w:w="3652" w:type="dxa"/>
          </w:tcPr>
          <w:p w14:paraId="60C768C2" w14:textId="2DCB7E3F" w:rsidR="00797536" w:rsidRPr="00797536" w:rsidRDefault="00797536" w:rsidP="00D8578A">
            <w:r>
              <w:t>Accumulated depreciation</w:t>
            </w:r>
          </w:p>
        </w:tc>
        <w:tc>
          <w:tcPr>
            <w:tcW w:w="1701" w:type="dxa"/>
            <w:tcBorders>
              <w:bottom w:val="single" w:sz="4" w:space="0" w:color="auto"/>
            </w:tcBorders>
          </w:tcPr>
          <w:p w14:paraId="5D0AB1C4" w14:textId="77777777" w:rsidR="00797536" w:rsidRPr="00797536" w:rsidRDefault="00797536" w:rsidP="00797536">
            <w:pPr>
              <w:jc w:val="right"/>
            </w:pPr>
          </w:p>
        </w:tc>
        <w:tc>
          <w:tcPr>
            <w:tcW w:w="1701" w:type="dxa"/>
            <w:tcBorders>
              <w:bottom w:val="single" w:sz="4" w:space="0" w:color="auto"/>
            </w:tcBorders>
          </w:tcPr>
          <w:p w14:paraId="7E529D7E" w14:textId="5DD489B6" w:rsidR="00797536" w:rsidRPr="00797536" w:rsidRDefault="00797536" w:rsidP="00797536">
            <w:pPr>
              <w:jc w:val="right"/>
            </w:pPr>
            <w:r>
              <w:t>(167)</w:t>
            </w:r>
          </w:p>
        </w:tc>
        <w:tc>
          <w:tcPr>
            <w:tcW w:w="1462" w:type="dxa"/>
            <w:tcBorders>
              <w:bottom w:val="single" w:sz="4" w:space="0" w:color="auto"/>
            </w:tcBorders>
          </w:tcPr>
          <w:p w14:paraId="4270DD30" w14:textId="3DB3E256" w:rsidR="00797536" w:rsidRPr="00797536" w:rsidRDefault="00797536" w:rsidP="00797536">
            <w:pPr>
              <w:jc w:val="right"/>
            </w:pPr>
            <w:r>
              <w:t>(167)</w:t>
            </w:r>
          </w:p>
        </w:tc>
      </w:tr>
      <w:tr w:rsidR="00797536" w14:paraId="0BBBE18E" w14:textId="77777777" w:rsidTr="00F57A94">
        <w:tc>
          <w:tcPr>
            <w:tcW w:w="3652" w:type="dxa"/>
          </w:tcPr>
          <w:p w14:paraId="4DE46127" w14:textId="5E8986F7" w:rsidR="00797536" w:rsidRPr="00797536" w:rsidRDefault="00797536" w:rsidP="00D8578A">
            <w:r>
              <w:t>Carrying amount</w:t>
            </w:r>
          </w:p>
        </w:tc>
        <w:tc>
          <w:tcPr>
            <w:tcW w:w="1701" w:type="dxa"/>
            <w:tcBorders>
              <w:top w:val="single" w:sz="4" w:space="0" w:color="auto"/>
            </w:tcBorders>
          </w:tcPr>
          <w:p w14:paraId="4D6FE737" w14:textId="38FEC134" w:rsidR="00797536" w:rsidRPr="00797536" w:rsidRDefault="00797536" w:rsidP="00797536">
            <w:pPr>
              <w:jc w:val="right"/>
            </w:pPr>
            <w:r>
              <w:t>1,000</w:t>
            </w:r>
          </w:p>
        </w:tc>
        <w:tc>
          <w:tcPr>
            <w:tcW w:w="1701" w:type="dxa"/>
            <w:tcBorders>
              <w:top w:val="single" w:sz="4" w:space="0" w:color="auto"/>
            </w:tcBorders>
          </w:tcPr>
          <w:p w14:paraId="5905FED9" w14:textId="2046B811" w:rsidR="00797536" w:rsidRPr="00797536" w:rsidRDefault="00797536" w:rsidP="00797536">
            <w:pPr>
              <w:jc w:val="right"/>
            </w:pPr>
            <w:r>
              <w:t>1,833</w:t>
            </w:r>
          </w:p>
        </w:tc>
        <w:tc>
          <w:tcPr>
            <w:tcW w:w="1462" w:type="dxa"/>
            <w:tcBorders>
              <w:top w:val="single" w:sz="4" w:space="0" w:color="auto"/>
            </w:tcBorders>
          </w:tcPr>
          <w:p w14:paraId="560EAAD0" w14:textId="5410254A" w:rsidR="00797536" w:rsidRPr="00797536" w:rsidRDefault="00797536" w:rsidP="00797536">
            <w:pPr>
              <w:jc w:val="right"/>
            </w:pPr>
            <w:r>
              <w:t>2,833</w:t>
            </w:r>
          </w:p>
        </w:tc>
      </w:tr>
      <w:tr w:rsidR="00797536" w14:paraId="030E69B6" w14:textId="77777777" w:rsidTr="00F57A94">
        <w:tc>
          <w:tcPr>
            <w:tcW w:w="3652" w:type="dxa"/>
          </w:tcPr>
          <w:p w14:paraId="41C8BEF5" w14:textId="72B7045C" w:rsidR="00797536" w:rsidRPr="00797536" w:rsidRDefault="00797536" w:rsidP="00D8578A">
            <w:r>
              <w:t>Impairment loss</w:t>
            </w:r>
          </w:p>
        </w:tc>
        <w:tc>
          <w:tcPr>
            <w:tcW w:w="1701" w:type="dxa"/>
            <w:tcBorders>
              <w:bottom w:val="single" w:sz="4" w:space="0" w:color="auto"/>
            </w:tcBorders>
          </w:tcPr>
          <w:p w14:paraId="4D528396" w14:textId="0695B219" w:rsidR="00797536" w:rsidRPr="00797536" w:rsidRDefault="00797536" w:rsidP="00797536">
            <w:pPr>
              <w:jc w:val="right"/>
            </w:pPr>
            <w:r>
              <w:t>(1,000)</w:t>
            </w:r>
          </w:p>
        </w:tc>
        <w:tc>
          <w:tcPr>
            <w:tcW w:w="1701" w:type="dxa"/>
            <w:tcBorders>
              <w:bottom w:val="single" w:sz="4" w:space="0" w:color="auto"/>
            </w:tcBorders>
          </w:tcPr>
          <w:p w14:paraId="718EEF60" w14:textId="37DE2EC4" w:rsidR="00797536" w:rsidRPr="00797536" w:rsidRDefault="00797536" w:rsidP="00797536">
            <w:pPr>
              <w:jc w:val="right"/>
            </w:pPr>
            <w:r>
              <w:t>(473)</w:t>
            </w:r>
          </w:p>
        </w:tc>
        <w:tc>
          <w:tcPr>
            <w:tcW w:w="1462" w:type="dxa"/>
            <w:tcBorders>
              <w:bottom w:val="single" w:sz="4" w:space="0" w:color="auto"/>
            </w:tcBorders>
          </w:tcPr>
          <w:p w14:paraId="13822692" w14:textId="61B4EC31" w:rsidR="00797536" w:rsidRPr="00797536" w:rsidRDefault="00797536" w:rsidP="00797536">
            <w:pPr>
              <w:jc w:val="right"/>
            </w:pPr>
            <w:r>
              <w:t>(1,473)</w:t>
            </w:r>
          </w:p>
        </w:tc>
      </w:tr>
      <w:tr w:rsidR="00797536" w14:paraId="20882CA9" w14:textId="77777777" w:rsidTr="00F57A94">
        <w:tc>
          <w:tcPr>
            <w:tcW w:w="3652" w:type="dxa"/>
          </w:tcPr>
          <w:p w14:paraId="5AFA2735" w14:textId="7C62466C" w:rsidR="00797536" w:rsidRPr="00797536" w:rsidRDefault="00797536" w:rsidP="00D8578A">
            <w:r>
              <w:t>Carrying amount after impairment loss</w:t>
            </w:r>
          </w:p>
        </w:tc>
        <w:tc>
          <w:tcPr>
            <w:tcW w:w="1701" w:type="dxa"/>
            <w:tcBorders>
              <w:top w:val="single" w:sz="4" w:space="0" w:color="auto"/>
            </w:tcBorders>
          </w:tcPr>
          <w:p w14:paraId="49BF1005" w14:textId="74D60F94" w:rsidR="00797536" w:rsidRPr="00797536" w:rsidRDefault="00797536" w:rsidP="00797536">
            <w:pPr>
              <w:jc w:val="right"/>
            </w:pPr>
            <w:r>
              <w:t>-</w:t>
            </w:r>
          </w:p>
        </w:tc>
        <w:tc>
          <w:tcPr>
            <w:tcW w:w="1701" w:type="dxa"/>
            <w:tcBorders>
              <w:top w:val="single" w:sz="4" w:space="0" w:color="auto"/>
            </w:tcBorders>
          </w:tcPr>
          <w:p w14:paraId="41D672A6" w14:textId="5320A3AA" w:rsidR="00797536" w:rsidRPr="00797536" w:rsidRDefault="00797536" w:rsidP="00797536">
            <w:pPr>
              <w:jc w:val="right"/>
            </w:pPr>
            <w:r>
              <w:t>1,360</w:t>
            </w:r>
          </w:p>
        </w:tc>
        <w:tc>
          <w:tcPr>
            <w:tcW w:w="1462" w:type="dxa"/>
            <w:tcBorders>
              <w:top w:val="single" w:sz="4" w:space="0" w:color="auto"/>
            </w:tcBorders>
          </w:tcPr>
          <w:p w14:paraId="5AF9142F" w14:textId="26339730" w:rsidR="00797536" w:rsidRPr="00797536" w:rsidRDefault="00797536" w:rsidP="00797536">
            <w:pPr>
              <w:jc w:val="right"/>
            </w:pPr>
            <w:r>
              <w:t>1,360</w:t>
            </w:r>
          </w:p>
        </w:tc>
      </w:tr>
    </w:tbl>
    <w:p w14:paraId="6849262D" w14:textId="77777777" w:rsidR="00797536" w:rsidRPr="008706E8" w:rsidRDefault="00797536" w:rsidP="00D8578A">
      <w:pPr>
        <w:rPr>
          <w:vertAlign w:val="superscript"/>
        </w:rPr>
      </w:pPr>
    </w:p>
    <w:sectPr w:rsidR="00797536" w:rsidRPr="008706E8" w:rsidSect="009C4A6A">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E46E0" w14:textId="77777777" w:rsidR="008706E8" w:rsidRDefault="008706E8" w:rsidP="00C6678F">
      <w:r>
        <w:separator/>
      </w:r>
    </w:p>
  </w:endnote>
  <w:endnote w:type="continuationSeparator" w:id="0">
    <w:p w14:paraId="5E1D5222" w14:textId="77777777" w:rsidR="008706E8" w:rsidRDefault="008706E8" w:rsidP="00C6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66800" w14:textId="158846F2" w:rsidR="008706E8" w:rsidRDefault="008706E8">
    <w:pPr>
      <w:pStyle w:val="Footer"/>
    </w:pPr>
    <w:r>
      <w:t xml:space="preserve">Source: IFRS - IAS 36 Illustrative Examples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FA300" w14:textId="77777777" w:rsidR="008706E8" w:rsidRDefault="008706E8" w:rsidP="00C6678F">
      <w:r>
        <w:separator/>
      </w:r>
    </w:p>
  </w:footnote>
  <w:footnote w:type="continuationSeparator" w:id="0">
    <w:p w14:paraId="366E5BF7" w14:textId="77777777" w:rsidR="008706E8" w:rsidRDefault="008706E8" w:rsidP="00C667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1688A" w14:textId="19531F19" w:rsidR="008706E8" w:rsidRDefault="003339B7">
    <w:pPr>
      <w:pStyle w:val="Header"/>
    </w:pPr>
    <w:r>
      <w:t>SM</w:t>
    </w:r>
    <w:r w:rsidR="00733A42">
      <w:t xml:space="preserve"> 11.2</w:t>
    </w:r>
    <w:r w:rsidR="008706E8">
      <w:t xml:space="preserve"> Impairment of assets</w:t>
    </w:r>
    <w:r w:rsidR="00733A42">
      <w:t xml:space="preserve"> – Illustrative Examples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844DD"/>
    <w:multiLevelType w:val="hybridMultilevel"/>
    <w:tmpl w:val="1A9C3D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EE4605"/>
    <w:multiLevelType w:val="hybridMultilevel"/>
    <w:tmpl w:val="E8A464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9324AC"/>
    <w:multiLevelType w:val="hybridMultilevel"/>
    <w:tmpl w:val="3DB489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B25F2C"/>
    <w:multiLevelType w:val="hybridMultilevel"/>
    <w:tmpl w:val="B888DD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097DB2"/>
    <w:multiLevelType w:val="hybridMultilevel"/>
    <w:tmpl w:val="DAB83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activeWritingStyle w:appName="MSWord" w:lang="en-US" w:vendorID="64" w:dllVersion="131078" w:nlCheck="1" w:checkStyle="1"/>
  <w:activeWritingStyle w:appName="MSWord" w:lang="en-GB"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775"/>
    <w:rsid w:val="00075775"/>
    <w:rsid w:val="001116F7"/>
    <w:rsid w:val="001D2954"/>
    <w:rsid w:val="001D448D"/>
    <w:rsid w:val="003339B7"/>
    <w:rsid w:val="00340360"/>
    <w:rsid w:val="003B2C7D"/>
    <w:rsid w:val="003F3976"/>
    <w:rsid w:val="004017CE"/>
    <w:rsid w:val="0066356C"/>
    <w:rsid w:val="00711DC6"/>
    <w:rsid w:val="00717D22"/>
    <w:rsid w:val="00733A42"/>
    <w:rsid w:val="00797536"/>
    <w:rsid w:val="007F6714"/>
    <w:rsid w:val="00800526"/>
    <w:rsid w:val="0086220A"/>
    <w:rsid w:val="008642C0"/>
    <w:rsid w:val="008706E8"/>
    <w:rsid w:val="009031DB"/>
    <w:rsid w:val="0090745E"/>
    <w:rsid w:val="0094087C"/>
    <w:rsid w:val="009928B0"/>
    <w:rsid w:val="009C4A6A"/>
    <w:rsid w:val="00A06CD8"/>
    <w:rsid w:val="00A22E0D"/>
    <w:rsid w:val="00A45307"/>
    <w:rsid w:val="00AF26FE"/>
    <w:rsid w:val="00BE1F62"/>
    <w:rsid w:val="00C6678F"/>
    <w:rsid w:val="00C70E8D"/>
    <w:rsid w:val="00C85A3B"/>
    <w:rsid w:val="00C934B7"/>
    <w:rsid w:val="00CB0680"/>
    <w:rsid w:val="00D1562E"/>
    <w:rsid w:val="00D64CE7"/>
    <w:rsid w:val="00D8578A"/>
    <w:rsid w:val="00E70773"/>
    <w:rsid w:val="00EC1B55"/>
    <w:rsid w:val="00EE43D9"/>
    <w:rsid w:val="00EF4E8E"/>
    <w:rsid w:val="00F52D7E"/>
    <w:rsid w:val="00F57A94"/>
    <w:rsid w:val="00F9224B"/>
    <w:rsid w:val="00FD3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0FFBE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DC6"/>
    <w:pPr>
      <w:ind w:left="720"/>
      <w:contextualSpacing/>
    </w:pPr>
  </w:style>
  <w:style w:type="paragraph" w:styleId="Header">
    <w:name w:val="header"/>
    <w:basedOn w:val="Normal"/>
    <w:link w:val="HeaderChar"/>
    <w:uiPriority w:val="99"/>
    <w:unhideWhenUsed/>
    <w:rsid w:val="00C6678F"/>
    <w:pPr>
      <w:tabs>
        <w:tab w:val="center" w:pos="4320"/>
        <w:tab w:val="right" w:pos="8640"/>
      </w:tabs>
    </w:pPr>
  </w:style>
  <w:style w:type="character" w:customStyle="1" w:styleId="HeaderChar">
    <w:name w:val="Header Char"/>
    <w:basedOn w:val="DefaultParagraphFont"/>
    <w:link w:val="Header"/>
    <w:uiPriority w:val="99"/>
    <w:rsid w:val="00C6678F"/>
    <w:rPr>
      <w:sz w:val="24"/>
      <w:szCs w:val="24"/>
      <w:lang w:val="en-GB" w:eastAsia="en-US"/>
    </w:rPr>
  </w:style>
  <w:style w:type="paragraph" w:styleId="Footer">
    <w:name w:val="footer"/>
    <w:basedOn w:val="Normal"/>
    <w:link w:val="FooterChar"/>
    <w:uiPriority w:val="99"/>
    <w:unhideWhenUsed/>
    <w:rsid w:val="00C6678F"/>
    <w:pPr>
      <w:tabs>
        <w:tab w:val="center" w:pos="4320"/>
        <w:tab w:val="right" w:pos="8640"/>
      </w:tabs>
    </w:pPr>
  </w:style>
  <w:style w:type="character" w:customStyle="1" w:styleId="FooterChar">
    <w:name w:val="Footer Char"/>
    <w:basedOn w:val="DefaultParagraphFont"/>
    <w:link w:val="Footer"/>
    <w:uiPriority w:val="99"/>
    <w:rsid w:val="00C6678F"/>
    <w:rPr>
      <w:sz w:val="24"/>
      <w:szCs w:val="24"/>
      <w:lang w:val="en-GB" w:eastAsia="en-US"/>
    </w:rPr>
  </w:style>
  <w:style w:type="table" w:styleId="TableGrid">
    <w:name w:val="Table Grid"/>
    <w:basedOn w:val="TableNormal"/>
    <w:uiPriority w:val="59"/>
    <w:rsid w:val="00D156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DC6"/>
    <w:pPr>
      <w:ind w:left="720"/>
      <w:contextualSpacing/>
    </w:pPr>
  </w:style>
  <w:style w:type="paragraph" w:styleId="Header">
    <w:name w:val="header"/>
    <w:basedOn w:val="Normal"/>
    <w:link w:val="HeaderChar"/>
    <w:uiPriority w:val="99"/>
    <w:unhideWhenUsed/>
    <w:rsid w:val="00C6678F"/>
    <w:pPr>
      <w:tabs>
        <w:tab w:val="center" w:pos="4320"/>
        <w:tab w:val="right" w:pos="8640"/>
      </w:tabs>
    </w:pPr>
  </w:style>
  <w:style w:type="character" w:customStyle="1" w:styleId="HeaderChar">
    <w:name w:val="Header Char"/>
    <w:basedOn w:val="DefaultParagraphFont"/>
    <w:link w:val="Header"/>
    <w:uiPriority w:val="99"/>
    <w:rsid w:val="00C6678F"/>
    <w:rPr>
      <w:sz w:val="24"/>
      <w:szCs w:val="24"/>
      <w:lang w:val="en-GB" w:eastAsia="en-US"/>
    </w:rPr>
  </w:style>
  <w:style w:type="paragraph" w:styleId="Footer">
    <w:name w:val="footer"/>
    <w:basedOn w:val="Normal"/>
    <w:link w:val="FooterChar"/>
    <w:uiPriority w:val="99"/>
    <w:unhideWhenUsed/>
    <w:rsid w:val="00C6678F"/>
    <w:pPr>
      <w:tabs>
        <w:tab w:val="center" w:pos="4320"/>
        <w:tab w:val="right" w:pos="8640"/>
      </w:tabs>
    </w:pPr>
  </w:style>
  <w:style w:type="character" w:customStyle="1" w:styleId="FooterChar">
    <w:name w:val="Footer Char"/>
    <w:basedOn w:val="DefaultParagraphFont"/>
    <w:link w:val="Footer"/>
    <w:uiPriority w:val="99"/>
    <w:rsid w:val="00C6678F"/>
    <w:rPr>
      <w:sz w:val="24"/>
      <w:szCs w:val="24"/>
      <w:lang w:val="en-GB" w:eastAsia="en-US"/>
    </w:rPr>
  </w:style>
  <w:style w:type="table" w:styleId="TableGrid">
    <w:name w:val="Table Grid"/>
    <w:basedOn w:val="TableNormal"/>
    <w:uiPriority w:val="59"/>
    <w:rsid w:val="00D156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222C2-C490-4848-A61B-CE560494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8</Pages>
  <Words>1945</Words>
  <Characters>11090</Characters>
  <Application>Microsoft Macintosh Word</Application>
  <DocSecurity>0</DocSecurity>
  <Lines>92</Lines>
  <Paragraphs>26</Paragraphs>
  <ScaleCrop>false</ScaleCrop>
  <Company/>
  <LinksUpToDate>false</LinksUpToDate>
  <CharactersWithSpaces>13009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Paul Smith</cp:lastModifiedBy>
  <cp:revision>31</cp:revision>
  <cp:lastPrinted>2018-02-09T15:02:00Z</cp:lastPrinted>
  <dcterms:created xsi:type="dcterms:W3CDTF">2014-03-05T07:01:00Z</dcterms:created>
  <dcterms:modified xsi:type="dcterms:W3CDTF">2018-02-11T09:20:00Z</dcterms:modified>
</cp:coreProperties>
</file>