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14A" w:rsidRDefault="00F5014A" w:rsidP="00F5014A">
      <w:pPr>
        <w:jc w:val="center"/>
        <w:rPr>
          <w:i/>
        </w:rPr>
      </w:pPr>
      <w:r>
        <w:rPr>
          <w:i/>
        </w:rPr>
        <w:t>Financial System – MOCK EXAM</w:t>
      </w:r>
    </w:p>
    <w:p w:rsidR="00F5014A" w:rsidRPr="00F5014A" w:rsidRDefault="00F5014A" w:rsidP="00F5014A">
      <w:pPr>
        <w:jc w:val="center"/>
        <w:rPr>
          <w:i/>
        </w:rPr>
      </w:pPr>
      <w:r>
        <w:rPr>
          <w:i/>
        </w:rPr>
        <w:t>M. Armanini, L. Vena</w:t>
      </w:r>
    </w:p>
    <w:p w:rsidR="009E7A43" w:rsidRPr="00F5014A" w:rsidRDefault="009E7A43" w:rsidP="00F07EE9">
      <w:pPr>
        <w:jc w:val="both"/>
        <w:rPr>
          <w:b/>
        </w:rPr>
      </w:pPr>
      <w:r w:rsidRPr="00F5014A">
        <w:rPr>
          <w:b/>
        </w:rPr>
        <w:t>5 open</w:t>
      </w:r>
      <w:r w:rsidR="00445356" w:rsidRPr="00F5014A">
        <w:rPr>
          <w:b/>
        </w:rPr>
        <w:t xml:space="preserve"> </w:t>
      </w:r>
      <w:r w:rsidRPr="00F5014A">
        <w:rPr>
          <w:b/>
        </w:rPr>
        <w:t>questions</w:t>
      </w:r>
    </w:p>
    <w:p w:rsidR="00E854B9" w:rsidRDefault="00E854B9" w:rsidP="00F07EE9">
      <w:pPr>
        <w:pStyle w:val="Paragrafoelenco"/>
        <w:numPr>
          <w:ilvl w:val="0"/>
          <w:numId w:val="1"/>
        </w:numPr>
        <w:spacing w:before="240" w:after="0"/>
        <w:ind w:left="425" w:hanging="425"/>
        <w:jc w:val="both"/>
      </w:pPr>
      <w:r w:rsidRPr="00E854B9">
        <w:t>Financial interm</w:t>
      </w:r>
      <w:r w:rsidR="009E7A43">
        <w:t>e</w:t>
      </w:r>
      <w:r w:rsidRPr="00E854B9">
        <w:t xml:space="preserve">diaries play a role </w:t>
      </w:r>
      <w:r w:rsidR="009E7A43">
        <w:t xml:space="preserve">only </w:t>
      </w:r>
      <w:r w:rsidRPr="00E854B9">
        <w:t xml:space="preserve">in </w:t>
      </w:r>
      <w:r w:rsidR="009E7A43">
        <w:t xml:space="preserve">one </w:t>
      </w:r>
      <w:r w:rsidRPr="00E854B9">
        <w:t>segment of financial markets</w:t>
      </w:r>
      <w:r w:rsidR="009E7A43">
        <w:t>, namely the direct finance. True/False/Uncertain. Explain.</w:t>
      </w:r>
    </w:p>
    <w:p w:rsidR="00445356" w:rsidRDefault="00445356" w:rsidP="00F07EE9">
      <w:pPr>
        <w:jc w:val="both"/>
        <w:rPr>
          <w:i/>
        </w:rPr>
      </w:pPr>
      <w:r w:rsidRPr="00676E91">
        <w:rPr>
          <w:b/>
          <w:i/>
        </w:rPr>
        <w:t>FALSE</w:t>
      </w:r>
      <w:r w:rsidRPr="00DC54D5">
        <w:rPr>
          <w:i/>
        </w:rPr>
        <w:t xml:space="preserve">. Financial intermediaries play a role in both segments of finance. </w:t>
      </w:r>
      <w:r w:rsidR="00081DB7" w:rsidRPr="00DC54D5">
        <w:rPr>
          <w:i/>
        </w:rPr>
        <w:t>Direct finance: they help issuers</w:t>
      </w:r>
      <w:r w:rsidR="00DC54D5" w:rsidRPr="00DC54D5">
        <w:rPr>
          <w:i/>
        </w:rPr>
        <w:t xml:space="preserve"> (spenders)</w:t>
      </w:r>
      <w:r w:rsidR="00081DB7" w:rsidRPr="00DC54D5">
        <w:rPr>
          <w:i/>
        </w:rPr>
        <w:t xml:space="preserve"> as well as </w:t>
      </w:r>
      <w:r w:rsidR="00DC54D5" w:rsidRPr="00DC54D5">
        <w:rPr>
          <w:i/>
        </w:rPr>
        <w:t>savers by easing money transfers. Indirect finance: FIs borrow money from lenders indirectly, via financial intermediaries.</w:t>
      </w:r>
    </w:p>
    <w:p w:rsidR="00DC54D5" w:rsidRDefault="00A4264E" w:rsidP="00F07EE9">
      <w:pPr>
        <w:pStyle w:val="Paragrafoelenco"/>
        <w:numPr>
          <w:ilvl w:val="0"/>
          <w:numId w:val="1"/>
        </w:numPr>
        <w:spacing w:before="240" w:after="0"/>
        <w:ind w:left="425" w:hanging="425"/>
        <w:jc w:val="both"/>
      </w:pPr>
      <w:r>
        <w:t>Primary market typically involve</w:t>
      </w:r>
      <w:r w:rsidR="00F951B7">
        <w:t>s</w:t>
      </w:r>
      <w:r>
        <w:t xml:space="preserve"> investment banks who underwrite o</w:t>
      </w:r>
      <w:r w:rsidR="00F951B7">
        <w:t>fferings, while both new issues and previously issued securities are traded on secondary market. True/False/Uncertain. Explain.</w:t>
      </w:r>
    </w:p>
    <w:p w:rsidR="00F951B7" w:rsidRDefault="00F951B7" w:rsidP="00F07EE9">
      <w:pPr>
        <w:jc w:val="both"/>
        <w:rPr>
          <w:i/>
        </w:rPr>
      </w:pPr>
      <w:r w:rsidRPr="00676E91">
        <w:rPr>
          <w:b/>
          <w:i/>
        </w:rPr>
        <w:t>FALSE</w:t>
      </w:r>
      <w:r w:rsidRPr="00F951B7">
        <w:rPr>
          <w:i/>
        </w:rPr>
        <w:t>.</w:t>
      </w:r>
      <w:r>
        <w:rPr>
          <w:i/>
        </w:rPr>
        <w:t xml:space="preserve"> </w:t>
      </w:r>
      <w:r w:rsidR="00CC055F">
        <w:rPr>
          <w:i/>
        </w:rPr>
        <w:t xml:space="preserve">New </w:t>
      </w:r>
      <w:r w:rsidR="00E10C65">
        <w:rPr>
          <w:i/>
        </w:rPr>
        <w:t xml:space="preserve">securities </w:t>
      </w:r>
      <w:r w:rsidR="00CC055F">
        <w:rPr>
          <w:i/>
        </w:rPr>
        <w:t xml:space="preserve">issues </w:t>
      </w:r>
      <w:r w:rsidR="00E10C65">
        <w:rPr>
          <w:i/>
        </w:rPr>
        <w:t xml:space="preserve">are typically sold to investment banks on primary markets. </w:t>
      </w:r>
      <w:r w:rsidR="007E520D">
        <w:rPr>
          <w:i/>
        </w:rPr>
        <w:t>Securities previously issued are traded on secondary markets.</w:t>
      </w:r>
    </w:p>
    <w:p w:rsidR="00301624" w:rsidRDefault="00301624" w:rsidP="00F07EE9">
      <w:pPr>
        <w:pStyle w:val="Paragrafoelenco"/>
        <w:numPr>
          <w:ilvl w:val="0"/>
          <w:numId w:val="1"/>
        </w:numPr>
        <w:spacing w:before="240" w:after="0"/>
        <w:ind w:left="425" w:hanging="425"/>
        <w:jc w:val="both"/>
      </w:pPr>
      <w:r>
        <w:t>Secondary markets are important as they help firms to get money. True/False/Uncertain. Explain.</w:t>
      </w:r>
    </w:p>
    <w:p w:rsidR="00301624" w:rsidRPr="002E1667" w:rsidRDefault="00301624" w:rsidP="00F07EE9">
      <w:pPr>
        <w:jc w:val="both"/>
        <w:rPr>
          <w:i/>
        </w:rPr>
      </w:pPr>
      <w:r w:rsidRPr="00676E91">
        <w:rPr>
          <w:b/>
          <w:i/>
        </w:rPr>
        <w:t>FALSE</w:t>
      </w:r>
      <w:r w:rsidRPr="002E1667">
        <w:rPr>
          <w:i/>
        </w:rPr>
        <w:t xml:space="preserve">. </w:t>
      </w:r>
      <w:r w:rsidR="00AE50E0" w:rsidRPr="002E1667">
        <w:rPr>
          <w:i/>
        </w:rPr>
        <w:t xml:space="preserve">Firms don’t get money from secondary markets. Notwithstanding, they play a pivotal role in that they serve two important functions: on the one hand, they provide liquidity to </w:t>
      </w:r>
      <w:r w:rsidR="00EA2A00" w:rsidRPr="002E1667">
        <w:rPr>
          <w:i/>
        </w:rPr>
        <w:t>financial instruments, making trades easier; on the other hand, they provide a valid base for company valuation (market price).</w:t>
      </w:r>
    </w:p>
    <w:p w:rsidR="00EA2A00" w:rsidRDefault="002A5F78" w:rsidP="00F07EE9">
      <w:pPr>
        <w:pStyle w:val="Paragrafoelenco"/>
        <w:numPr>
          <w:ilvl w:val="0"/>
          <w:numId w:val="1"/>
        </w:numPr>
        <w:spacing w:before="240" w:after="0"/>
        <w:ind w:left="425" w:hanging="425"/>
        <w:jc w:val="both"/>
      </w:pPr>
      <w:r>
        <w:t>Holding everything constant, t</w:t>
      </w:r>
      <w:r w:rsidR="0019239E">
        <w:t xml:space="preserve">he </w:t>
      </w:r>
      <w:r w:rsidR="00F33EB7">
        <w:t>lower</w:t>
      </w:r>
      <w:r w:rsidR="0019239E">
        <w:t xml:space="preserve"> to yield to maturity </w:t>
      </w:r>
      <w:r w:rsidR="003B64CF">
        <w:t xml:space="preserve">of a bond the higher its price. True/False/Uncertain. Explain. </w:t>
      </w:r>
    </w:p>
    <w:p w:rsidR="00F33EB7" w:rsidRDefault="00942205" w:rsidP="00F07EE9">
      <w:pPr>
        <w:jc w:val="both"/>
        <w:rPr>
          <w:i/>
        </w:rPr>
      </w:pPr>
      <w:r w:rsidRPr="00676E91">
        <w:rPr>
          <w:b/>
          <w:i/>
        </w:rPr>
        <w:t>TRUE</w:t>
      </w:r>
      <w:r w:rsidR="002A5F78" w:rsidRPr="002E1667">
        <w:rPr>
          <w:i/>
        </w:rPr>
        <w:t xml:space="preserve">. </w:t>
      </w:r>
      <w:r w:rsidRPr="002E1667">
        <w:rPr>
          <w:i/>
        </w:rPr>
        <w:t xml:space="preserve">Yield to maturity and bond price are negatively related. When the interest rates </w:t>
      </w:r>
      <w:r w:rsidR="002E1667" w:rsidRPr="002E1667">
        <w:rPr>
          <w:i/>
        </w:rPr>
        <w:t>decrease</w:t>
      </w:r>
      <w:r w:rsidRPr="002E1667">
        <w:rPr>
          <w:i/>
        </w:rPr>
        <w:t xml:space="preserve">, the PV </w:t>
      </w:r>
      <w:r w:rsidR="002E1667" w:rsidRPr="002E1667">
        <w:rPr>
          <w:i/>
        </w:rPr>
        <w:t xml:space="preserve">of any given cash flow is </w:t>
      </w:r>
      <w:r w:rsidR="00042C46">
        <w:rPr>
          <w:i/>
        </w:rPr>
        <w:t>highe</w:t>
      </w:r>
      <w:r w:rsidR="002E1667" w:rsidRPr="002E1667">
        <w:rPr>
          <w:i/>
        </w:rPr>
        <w:t>r; accordingly, the price of the bond must be</w:t>
      </w:r>
      <w:r w:rsidR="00042C46">
        <w:rPr>
          <w:i/>
        </w:rPr>
        <w:t xml:space="preserve"> higher</w:t>
      </w:r>
      <w:r w:rsidR="002E1667" w:rsidRPr="002E1667">
        <w:rPr>
          <w:i/>
        </w:rPr>
        <w:t xml:space="preserve">. </w:t>
      </w:r>
      <w:r w:rsidRPr="002E1667">
        <w:rPr>
          <w:i/>
        </w:rPr>
        <w:t xml:space="preserve"> </w:t>
      </w:r>
    </w:p>
    <w:p w:rsidR="00202D9C" w:rsidRDefault="00227642" w:rsidP="00F07EE9">
      <w:pPr>
        <w:pStyle w:val="Paragrafoelenco"/>
        <w:numPr>
          <w:ilvl w:val="0"/>
          <w:numId w:val="1"/>
        </w:numPr>
        <w:spacing w:before="240" w:after="0"/>
        <w:ind w:left="425" w:hanging="425"/>
        <w:jc w:val="both"/>
      </w:pPr>
      <w:r w:rsidRPr="00227642">
        <w:t>Nomin</w:t>
      </w:r>
      <w:r w:rsidR="00202D9C" w:rsidRPr="00227642">
        <w:t xml:space="preserve">al interest rates reflect more accurately the cost of borrowings as real interest rates include the </w:t>
      </w:r>
      <w:r w:rsidR="00B93470">
        <w:t xml:space="preserve">expected changes in the price level. True/False/Uncertain. Explain. </w:t>
      </w:r>
    </w:p>
    <w:p w:rsidR="00B93470" w:rsidRDefault="00B93470" w:rsidP="00F07EE9">
      <w:pPr>
        <w:jc w:val="both"/>
        <w:rPr>
          <w:i/>
        </w:rPr>
      </w:pPr>
      <w:r w:rsidRPr="00676E91">
        <w:rPr>
          <w:b/>
          <w:i/>
        </w:rPr>
        <w:t>FALSE</w:t>
      </w:r>
      <w:r w:rsidRPr="00F7376B">
        <w:rPr>
          <w:i/>
        </w:rPr>
        <w:t xml:space="preserve">. </w:t>
      </w:r>
      <m:oMath>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=i-</m:t>
        </m:r>
        <m:sSup>
          <m:sSupPr>
            <m:ctrlPr>
              <w:rPr>
                <w:rFonts w:ascii="Cambria Math" w:hAnsi="Cambria Math"/>
                <w:i/>
              </w:rPr>
            </m:ctrlPr>
          </m:sSupPr>
          <m:e>
            <m:r>
              <w:rPr>
                <w:rFonts w:ascii="Cambria Math" w:hAnsi="Cambria Math"/>
              </w:rPr>
              <m:t>π</m:t>
            </m:r>
          </m:e>
          <m:sup>
            <m:r>
              <w:rPr>
                <w:rFonts w:ascii="Cambria Math" w:hAnsi="Cambria Math"/>
              </w:rPr>
              <m:t>e</m:t>
            </m:r>
          </m:sup>
        </m:sSup>
      </m:oMath>
      <w:r w:rsidR="003D0A7D" w:rsidRPr="00F7376B">
        <w:rPr>
          <w:i/>
        </w:rPr>
        <w:t xml:space="preserve">. Real interest rates are purged from the expected changes in the price level. Therefore, they better reflect the true cost of borrowing. </w:t>
      </w:r>
      <w:r w:rsidR="00F7376B" w:rsidRPr="00F7376B">
        <w:rPr>
          <w:i/>
        </w:rPr>
        <w:t>Holding the nominal rates constant, the higher the inflation, the lower will be the real rates (i.e. the real cost of borrowing). Broadly speaking, when the real rate is low, there are greater incentives to borrow and less to lend.</w:t>
      </w:r>
    </w:p>
    <w:p w:rsidR="00EC5B04" w:rsidRPr="00AB6901" w:rsidRDefault="003775BF" w:rsidP="00F07EE9">
      <w:pPr>
        <w:pStyle w:val="Paragrafoelenco"/>
        <w:numPr>
          <w:ilvl w:val="0"/>
          <w:numId w:val="1"/>
        </w:numPr>
        <w:spacing w:before="240" w:after="0"/>
        <w:ind w:left="425" w:hanging="425"/>
        <w:jc w:val="both"/>
      </w:pPr>
      <w:r w:rsidRPr="00AB6901">
        <w:t xml:space="preserve">The duration of a bond reflects its interest rate sensitivity. </w:t>
      </w:r>
      <w:r w:rsidR="00BF30D6" w:rsidRPr="00AB6901">
        <w:t xml:space="preserve">True/False/Uncertain. Explain. </w:t>
      </w:r>
    </w:p>
    <w:p w:rsidR="00BF30D6" w:rsidRDefault="00B360EA" w:rsidP="00F07EE9">
      <w:pPr>
        <w:jc w:val="both"/>
        <w:rPr>
          <w:i/>
        </w:rPr>
      </w:pPr>
      <w:r w:rsidRPr="00676E91">
        <w:rPr>
          <w:b/>
          <w:i/>
        </w:rPr>
        <w:t>TRUE</w:t>
      </w:r>
      <w:r>
        <w:rPr>
          <w:i/>
        </w:rPr>
        <w:t xml:space="preserve">. </w:t>
      </w:r>
      <m:oMath>
        <m:r>
          <w:rPr>
            <w:rFonts w:ascii="Cambria Math" w:hAnsi="Cambria Math"/>
          </w:rPr>
          <m:t>%ΔP≈-Dur*</m:t>
        </m:r>
        <m:f>
          <m:fPr>
            <m:ctrlPr>
              <w:rPr>
                <w:rFonts w:ascii="Cambria Math" w:hAnsi="Cambria Math"/>
                <w:i/>
              </w:rPr>
            </m:ctrlPr>
          </m:fPr>
          <m:num>
            <m:r>
              <w:rPr>
                <w:rFonts w:ascii="Cambria Math" w:hAnsi="Cambria Math"/>
              </w:rPr>
              <m:t>Δi</m:t>
            </m:r>
          </m:num>
          <m:den>
            <m:r>
              <w:rPr>
                <w:rFonts w:ascii="Cambria Math" w:hAnsi="Cambria Math"/>
              </w:rPr>
              <m:t>1+i</m:t>
            </m:r>
          </m:den>
        </m:f>
      </m:oMath>
      <w:r w:rsidRPr="00AB6901">
        <w:rPr>
          <w:i/>
        </w:rPr>
        <w:t xml:space="preserve">. </w:t>
      </w:r>
      <w:r w:rsidR="00AB6901" w:rsidRPr="00AB6901">
        <w:rPr>
          <w:i/>
        </w:rPr>
        <w:t>For a given change in the interest rates, the higher the duration, the higher will be the change in the price of the bond</w:t>
      </w:r>
    </w:p>
    <w:p w:rsidR="00AB6901" w:rsidRPr="00F07EE9" w:rsidRDefault="00A81EBD" w:rsidP="00F07EE9">
      <w:pPr>
        <w:pStyle w:val="Paragrafoelenco"/>
        <w:numPr>
          <w:ilvl w:val="0"/>
          <w:numId w:val="1"/>
        </w:numPr>
        <w:spacing w:before="240" w:after="0"/>
        <w:ind w:left="425" w:hanging="425"/>
        <w:jc w:val="both"/>
      </w:pPr>
      <w:r w:rsidRPr="00F07EE9">
        <w:t>Money market instruments are less risky than bond and</w:t>
      </w:r>
      <w:r w:rsidR="00F10F10" w:rsidRPr="00F07EE9">
        <w:t xml:space="preserve"> equity market instruments but give investors a rate of return that is usually lower than that of equity and higher that of bonds. True/False/Uncertain. Explain.</w:t>
      </w:r>
    </w:p>
    <w:p w:rsidR="00C33C2D" w:rsidRDefault="00436A86" w:rsidP="00F07EE9">
      <w:pPr>
        <w:jc w:val="both"/>
        <w:rPr>
          <w:i/>
        </w:rPr>
      </w:pPr>
      <w:r w:rsidRPr="00676E91">
        <w:rPr>
          <w:b/>
          <w:i/>
        </w:rPr>
        <w:t>FALSE</w:t>
      </w:r>
      <w:r>
        <w:rPr>
          <w:i/>
        </w:rPr>
        <w:t xml:space="preserve">. Risk on money market instruments &lt; risk on bond market instruments &lt; risk on equity instruments. </w:t>
      </w:r>
      <w:r w:rsidR="00F07EE9">
        <w:rPr>
          <w:i/>
        </w:rPr>
        <w:t>Return on money market instruments &lt; return on bond market instruments &lt; return on equity instruments.</w:t>
      </w:r>
    </w:p>
    <w:p w:rsidR="00FD660B" w:rsidRPr="00FE7F50" w:rsidRDefault="00FD660B" w:rsidP="00FE7F50">
      <w:pPr>
        <w:pStyle w:val="Paragrafoelenco"/>
        <w:numPr>
          <w:ilvl w:val="0"/>
          <w:numId w:val="1"/>
        </w:numPr>
        <w:spacing w:before="240" w:after="0"/>
        <w:ind w:left="425" w:hanging="425"/>
        <w:jc w:val="both"/>
      </w:pPr>
      <w:r w:rsidRPr="00FE7F50">
        <w:t>AAA bonds</w:t>
      </w:r>
      <w:r w:rsidR="00776373" w:rsidRPr="00FE7F50">
        <w:t>, usually known as junk bonds, offers a high rate of return in exchange of a contained risk. True/False/Uncertain. Explain.</w:t>
      </w:r>
    </w:p>
    <w:p w:rsidR="00776373" w:rsidRDefault="00776373" w:rsidP="00FE7F50">
      <w:pPr>
        <w:jc w:val="both"/>
        <w:rPr>
          <w:i/>
        </w:rPr>
      </w:pPr>
      <w:r w:rsidRPr="00676E91">
        <w:rPr>
          <w:b/>
          <w:i/>
        </w:rPr>
        <w:t>FALSE</w:t>
      </w:r>
      <w:r>
        <w:rPr>
          <w:i/>
        </w:rPr>
        <w:t>. Junk bonds are instrument</w:t>
      </w:r>
      <w:r w:rsidR="000A32F7">
        <w:rPr>
          <w:i/>
        </w:rPr>
        <w:t>s rated below BB</w:t>
      </w:r>
      <w:r w:rsidR="00FE7F50">
        <w:rPr>
          <w:i/>
        </w:rPr>
        <w:t xml:space="preserve">B. The term junk bonds </w:t>
      </w:r>
      <w:proofErr w:type="gramStart"/>
      <w:r w:rsidR="00FE7F50">
        <w:rPr>
          <w:i/>
        </w:rPr>
        <w:t>identifies</w:t>
      </w:r>
      <w:proofErr w:type="gramEnd"/>
      <w:r w:rsidR="000A32F7">
        <w:rPr>
          <w:i/>
        </w:rPr>
        <w:t xml:space="preserve"> instruments characterized by a stressed situation which reflect into a high degree of risk and, in turn, in a</w:t>
      </w:r>
      <w:r w:rsidR="00FE7F50">
        <w:rPr>
          <w:i/>
        </w:rPr>
        <w:t>n extremely</w:t>
      </w:r>
      <w:r w:rsidR="000A32F7">
        <w:rPr>
          <w:i/>
        </w:rPr>
        <w:t xml:space="preserve"> high expected </w:t>
      </w:r>
      <w:r w:rsidR="00FE7F50">
        <w:rPr>
          <w:i/>
        </w:rPr>
        <w:t xml:space="preserve">return. On </w:t>
      </w:r>
      <w:r w:rsidR="00FE7F50">
        <w:rPr>
          <w:i/>
        </w:rPr>
        <w:lastRenderedPageBreak/>
        <w:t>the opposite AAA bonds constitute the less risky category, the one that gives investors a low expected rate of return.</w:t>
      </w:r>
    </w:p>
    <w:p w:rsidR="004F548F" w:rsidRPr="007D2F56" w:rsidRDefault="007817E2" w:rsidP="007D2F56">
      <w:pPr>
        <w:pStyle w:val="Paragrafoelenco"/>
        <w:numPr>
          <w:ilvl w:val="0"/>
          <w:numId w:val="1"/>
        </w:numPr>
        <w:spacing w:before="240" w:after="0"/>
        <w:ind w:left="425" w:hanging="425"/>
        <w:jc w:val="both"/>
      </w:pPr>
      <w:r w:rsidRPr="007D2F56">
        <w:t xml:space="preserve">By buying bonds, investors become </w:t>
      </w:r>
      <w:r w:rsidR="00655EB2" w:rsidRPr="007D2F56">
        <w:t xml:space="preserve">owners of the company. </w:t>
      </w:r>
      <w:r w:rsidR="00AF17DD" w:rsidRPr="007D2F56">
        <w:t xml:space="preserve">By buying shares, investors become company creditors. True/False/Uncertain. Explain. </w:t>
      </w:r>
    </w:p>
    <w:p w:rsidR="00AF17DD" w:rsidRPr="007D2F56" w:rsidRDefault="00AF17DD" w:rsidP="007D2F56">
      <w:pPr>
        <w:spacing w:after="0"/>
        <w:jc w:val="both"/>
        <w:rPr>
          <w:i/>
        </w:rPr>
      </w:pPr>
      <w:r w:rsidRPr="00676E91">
        <w:rPr>
          <w:b/>
          <w:i/>
        </w:rPr>
        <w:t>FALSE</w:t>
      </w:r>
      <w:r w:rsidRPr="007D2F56">
        <w:rPr>
          <w:i/>
        </w:rPr>
        <w:t xml:space="preserve">. Shareholders </w:t>
      </w:r>
      <w:r w:rsidR="00165CEA" w:rsidRPr="007D2F56">
        <w:rPr>
          <w:i/>
        </w:rPr>
        <w:t>own a percentage interest in a firm</w:t>
      </w:r>
      <w:r w:rsidR="00C15A5A" w:rsidRPr="007D2F56">
        <w:rPr>
          <w:i/>
        </w:rPr>
        <w:t>. As owners, they have a claim on all firm’s assets and the right to vote for directors and other certain issues. On the opposite, bondholders are mere company creditors: therefore, they expect to ea</w:t>
      </w:r>
      <w:r w:rsidR="00FA3DB3" w:rsidRPr="007D2F56">
        <w:rPr>
          <w:i/>
        </w:rPr>
        <w:t>rn a predetermined return, namely the interest rate on the bond (should they hold the bond until it goes to maturity) or a different rate of return in case they sell the bond before the maturity.</w:t>
      </w:r>
    </w:p>
    <w:p w:rsidR="00FA3DB3" w:rsidRPr="007D2F56" w:rsidRDefault="00DE53F9" w:rsidP="007D2F56">
      <w:pPr>
        <w:pStyle w:val="Paragrafoelenco"/>
        <w:numPr>
          <w:ilvl w:val="0"/>
          <w:numId w:val="1"/>
        </w:numPr>
        <w:spacing w:before="240" w:after="0"/>
        <w:ind w:left="425" w:hanging="425"/>
        <w:jc w:val="both"/>
      </w:pPr>
      <w:r w:rsidRPr="007D2F56">
        <w:t xml:space="preserve">By balancing the maturities of assets and liabilities, banks hedge against credit risk, while remain exposed to interest rate risk. True/False/Uncertain. Explain. </w:t>
      </w:r>
    </w:p>
    <w:p w:rsidR="00DE53F9" w:rsidRDefault="00DE53F9" w:rsidP="00676E91">
      <w:pPr>
        <w:spacing w:after="0"/>
        <w:jc w:val="both"/>
        <w:rPr>
          <w:i/>
        </w:rPr>
      </w:pPr>
      <w:r w:rsidRPr="00676E91">
        <w:rPr>
          <w:b/>
          <w:i/>
        </w:rPr>
        <w:t>FALSE</w:t>
      </w:r>
      <w:r w:rsidRPr="007D2F56">
        <w:rPr>
          <w:i/>
        </w:rPr>
        <w:t xml:space="preserve">. By matching assets’ and liabilities’ maturities banks hedge against interest rate risk in that the quantity of assets that has to be reinvested equals the quantity of liabilities that has to be refinanced. Therefore, increases/decreases in interest rates are not expected to influence the interest margin. On the opposite, even though banks perfectly match assets’ and liabilities’ maturities, they remain exposed to credit risk which originates from the banking activities and hence it is related to banks’ assets. </w:t>
      </w:r>
    </w:p>
    <w:p w:rsidR="00C52CD3" w:rsidRPr="00676E91" w:rsidRDefault="00C52CD3" w:rsidP="00676E91">
      <w:pPr>
        <w:pStyle w:val="Paragrafoelenco"/>
        <w:numPr>
          <w:ilvl w:val="0"/>
          <w:numId w:val="1"/>
        </w:numPr>
        <w:spacing w:before="240" w:after="0"/>
        <w:ind w:left="425" w:hanging="425"/>
        <w:jc w:val="both"/>
      </w:pPr>
      <w:r w:rsidRPr="00676E91">
        <w:t>Government insurance on deposit</w:t>
      </w:r>
      <w:r w:rsidR="00B87ABE" w:rsidRPr="00676E91">
        <w:t xml:space="preserve"> protect investors in that it discourages risk taking by bankers. True/False/Uncertain. Explain. </w:t>
      </w:r>
    </w:p>
    <w:p w:rsidR="00B87ABE" w:rsidRDefault="00B87ABE" w:rsidP="00676E91">
      <w:pPr>
        <w:spacing w:after="0"/>
        <w:jc w:val="both"/>
        <w:rPr>
          <w:i/>
        </w:rPr>
      </w:pPr>
      <w:r w:rsidRPr="00676E91">
        <w:rPr>
          <w:b/>
          <w:i/>
        </w:rPr>
        <w:t>FALSE</w:t>
      </w:r>
      <w:r>
        <w:rPr>
          <w:i/>
        </w:rPr>
        <w:t xml:space="preserve">. Depositors are protected by government insurance on deposits in that in case of bankruptcy </w:t>
      </w:r>
      <w:r w:rsidR="0088088E">
        <w:rPr>
          <w:i/>
        </w:rPr>
        <w:t xml:space="preserve">they </w:t>
      </w:r>
      <w:r w:rsidR="008F610C">
        <w:rPr>
          <w:i/>
        </w:rPr>
        <w:t xml:space="preserve">are insured </w:t>
      </w:r>
      <w:r w:rsidR="00F540E0">
        <w:rPr>
          <w:i/>
        </w:rPr>
        <w:t>up a to a certain loss (e.g. 100,000€, 250,000$...). The flip side of this mechanism is that it incentivizes bankers to engage in more risky assets aiming increase the overall bank return. Bankers are ince</w:t>
      </w:r>
      <w:r w:rsidR="00A07211">
        <w:rPr>
          <w:i/>
        </w:rPr>
        <w:t xml:space="preserve">ntivized because the increase in downside risk is borne by insurers. </w:t>
      </w:r>
    </w:p>
    <w:p w:rsidR="007E650E" w:rsidRPr="00676E91" w:rsidRDefault="00E471EB" w:rsidP="00676E91">
      <w:pPr>
        <w:pStyle w:val="Paragrafoelenco"/>
        <w:numPr>
          <w:ilvl w:val="0"/>
          <w:numId w:val="1"/>
        </w:numPr>
        <w:spacing w:before="240" w:after="0"/>
        <w:ind w:left="425" w:hanging="425"/>
        <w:jc w:val="both"/>
      </w:pPr>
      <w:r w:rsidRPr="00676E91">
        <w:t xml:space="preserve">When the riskiness on an investment increases and the level of the investment </w:t>
      </w:r>
      <w:r w:rsidR="00E977EE" w:rsidRPr="00676E91">
        <w:t>decreases</w:t>
      </w:r>
      <w:r w:rsidRPr="00676E91">
        <w:t xml:space="preserve">, the amount of regulatory capital declines. </w:t>
      </w:r>
      <w:r w:rsidR="00E977EE" w:rsidRPr="00676E91">
        <w:t xml:space="preserve">True/False/Uncertain. Explain. </w:t>
      </w:r>
    </w:p>
    <w:p w:rsidR="00E977EE" w:rsidRDefault="00E977EE" w:rsidP="00676E91">
      <w:pPr>
        <w:spacing w:after="0"/>
        <w:jc w:val="both"/>
        <w:rPr>
          <w:i/>
        </w:rPr>
      </w:pPr>
      <w:r w:rsidRPr="00676E91">
        <w:rPr>
          <w:b/>
          <w:i/>
        </w:rPr>
        <w:t>UNCERTAIN</w:t>
      </w:r>
      <w:r>
        <w:rPr>
          <w:i/>
        </w:rPr>
        <w:t xml:space="preserve">. The regulatory capital is defined according to the following formula: </w:t>
      </w:r>
      <m:oMath>
        <m:r>
          <w:rPr>
            <w:rFonts w:ascii="Cambria Math" w:hAnsi="Cambria Math"/>
          </w:rPr>
          <m:t>MRC≥8%*RWAs</m:t>
        </m:r>
      </m:oMath>
      <w:r w:rsidR="005B3E0C" w:rsidRPr="00676E91">
        <w:rPr>
          <w:i/>
        </w:rPr>
        <w:t xml:space="preserve">, where </w:t>
      </w:r>
      <m:oMath>
        <m:r>
          <w:rPr>
            <w:rFonts w:ascii="Cambria Math" w:hAnsi="Cambria Math"/>
          </w:rPr>
          <m:t xml:space="preserve">RWAs= </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e>
        </m:nary>
      </m:oMath>
      <w:r w:rsidR="005B3E0C" w:rsidRPr="00676E91">
        <w:rPr>
          <w:i/>
        </w:rPr>
        <w:t>, where A and w identify the exposure and the regulatory weight.</w:t>
      </w:r>
      <w:r w:rsidR="00957E50" w:rsidRPr="00676E91">
        <w:rPr>
          <w:i/>
        </w:rPr>
        <w:t xml:space="preserve"> </w:t>
      </w:r>
      <w:proofErr w:type="gramStart"/>
      <w:r w:rsidR="00957E50" w:rsidRPr="00676E91">
        <w:rPr>
          <w:i/>
        </w:rPr>
        <w:t>Thus</w:t>
      </w:r>
      <w:proofErr w:type="gramEnd"/>
      <w:r w:rsidR="00957E50" w:rsidRPr="00676E91">
        <w:rPr>
          <w:i/>
        </w:rPr>
        <w:t xml:space="preserve"> when the riskiness on an investments increases, w increases too, and the minimum regulatory capital is expected to increase. </w:t>
      </w:r>
      <w:r w:rsidR="00E35CD8" w:rsidRPr="00676E91">
        <w:rPr>
          <w:i/>
        </w:rPr>
        <w:t>However, a lower exposure implies a lower risk weighted assets and, hence, a reduction in the regulatory capital. Overall, the outcome on bank capital is uncertain in that the two forces pull in opposite directions and it is almost impossible to know ex-</w:t>
      </w:r>
      <w:r w:rsidR="00463F8B">
        <w:rPr>
          <w:i/>
        </w:rPr>
        <w:t>ante which of the two prevails.</w:t>
      </w:r>
    </w:p>
    <w:p w:rsidR="0023232E" w:rsidRDefault="0023232E" w:rsidP="00676E91">
      <w:pPr>
        <w:spacing w:after="0"/>
        <w:jc w:val="both"/>
        <w:rPr>
          <w:i/>
        </w:rPr>
      </w:pPr>
    </w:p>
    <w:p w:rsidR="00463F8B" w:rsidRPr="00D36AF9" w:rsidRDefault="0071107A" w:rsidP="00676E91">
      <w:pPr>
        <w:pStyle w:val="Paragrafoelenco"/>
        <w:numPr>
          <w:ilvl w:val="0"/>
          <w:numId w:val="1"/>
        </w:numPr>
        <w:spacing w:after="0"/>
        <w:jc w:val="both"/>
      </w:pPr>
      <w:r w:rsidRPr="00D36AF9">
        <w:t>The ECB is in charge of monetary policy and its main objective is to manage short term interest rates.</w:t>
      </w:r>
    </w:p>
    <w:p w:rsidR="0071107A" w:rsidRPr="00D36AF9" w:rsidRDefault="0071107A" w:rsidP="0071107A">
      <w:pPr>
        <w:spacing w:after="0"/>
        <w:jc w:val="both"/>
      </w:pPr>
      <w:r w:rsidRPr="00D36AF9">
        <w:t>True/False/Uncertain. Explain.</w:t>
      </w:r>
    </w:p>
    <w:p w:rsidR="0071107A" w:rsidRDefault="0071107A" w:rsidP="0071107A">
      <w:pPr>
        <w:pStyle w:val="Paragrafoelenco"/>
        <w:numPr>
          <w:ilvl w:val="0"/>
          <w:numId w:val="1"/>
        </w:numPr>
        <w:spacing w:after="0"/>
        <w:jc w:val="both"/>
      </w:pPr>
      <w:r w:rsidRPr="00D36AF9">
        <w:t>When the central bank buys treasury bonds on the market (money market operations) it creates monetary base. The likely effect is an increase in short term interest rates. True/False/Uncertain. Explain</w:t>
      </w:r>
    </w:p>
    <w:p w:rsidR="00D36AF9" w:rsidRPr="00D36AF9" w:rsidRDefault="00D36AF9" w:rsidP="00D36AF9">
      <w:pPr>
        <w:pStyle w:val="Paragrafoelenco"/>
        <w:numPr>
          <w:ilvl w:val="0"/>
          <w:numId w:val="1"/>
        </w:numPr>
        <w:spacing w:after="0"/>
        <w:jc w:val="both"/>
      </w:pPr>
      <w:r w:rsidRPr="00D36AF9">
        <w:t>The Interest rate applied by ECB on the marginal (standing) lending facility is the rate the ECB pays on the deposit that banks leave at the ECB. It is the ceiling of the corridor within the overnight money market rate can fluctuate.  True/False/Uncertain. Explain.</w:t>
      </w:r>
    </w:p>
    <w:p w:rsidR="00D36AF9" w:rsidRDefault="00D36AF9" w:rsidP="00D36AF9">
      <w:pPr>
        <w:pStyle w:val="Paragrafoelenco"/>
        <w:spacing w:after="0"/>
        <w:ind w:left="360"/>
        <w:jc w:val="both"/>
        <w:rPr>
          <w:i/>
        </w:rPr>
      </w:pPr>
    </w:p>
    <w:p w:rsidR="00D36AF9" w:rsidRDefault="00D36AF9" w:rsidP="00D36AF9">
      <w:pPr>
        <w:pStyle w:val="Paragrafoelenco"/>
        <w:spacing w:after="0"/>
        <w:ind w:left="360"/>
        <w:jc w:val="both"/>
        <w:rPr>
          <w:i/>
        </w:rPr>
      </w:pPr>
      <w:bookmarkStart w:id="0" w:name="_GoBack"/>
      <w:bookmarkEnd w:id="0"/>
    </w:p>
    <w:p w:rsidR="00D36AF9" w:rsidRPr="0071107A" w:rsidRDefault="00D36AF9" w:rsidP="00D36AF9">
      <w:pPr>
        <w:pStyle w:val="Paragrafoelenco"/>
        <w:spacing w:after="0"/>
        <w:ind w:left="360"/>
        <w:jc w:val="both"/>
        <w:rPr>
          <w:i/>
        </w:rPr>
      </w:pPr>
    </w:p>
    <w:p w:rsidR="00463F8B" w:rsidRPr="00F5014A" w:rsidRDefault="00463F8B" w:rsidP="00463F8B">
      <w:pPr>
        <w:spacing w:after="0"/>
        <w:jc w:val="both"/>
        <w:rPr>
          <w:b/>
        </w:rPr>
      </w:pPr>
      <w:r w:rsidRPr="00F5014A">
        <w:rPr>
          <w:b/>
        </w:rPr>
        <w:t xml:space="preserve">1 or 2 short exercises. </w:t>
      </w:r>
    </w:p>
    <w:p w:rsidR="00463F8B" w:rsidRPr="00F5014A" w:rsidRDefault="00463F8B" w:rsidP="00030CDB">
      <w:pPr>
        <w:pStyle w:val="Paragrafoelenco"/>
        <w:numPr>
          <w:ilvl w:val="0"/>
          <w:numId w:val="4"/>
        </w:numPr>
        <w:spacing w:before="240" w:after="0"/>
        <w:ind w:left="426" w:hanging="426"/>
        <w:jc w:val="both"/>
      </w:pPr>
      <w:r w:rsidRPr="00F5014A">
        <w:t xml:space="preserve">Compute the present value of the following bond: </w:t>
      </w:r>
    </w:p>
    <w:p w:rsidR="00463F8B" w:rsidRPr="00F5014A" w:rsidRDefault="00463F8B" w:rsidP="00463F8B">
      <w:pPr>
        <w:pStyle w:val="Paragrafoelenco"/>
        <w:numPr>
          <w:ilvl w:val="1"/>
          <w:numId w:val="3"/>
        </w:numPr>
        <w:spacing w:after="0"/>
        <w:jc w:val="both"/>
      </w:pPr>
      <w:r w:rsidRPr="00F5014A">
        <w:t>3 years to maturity;</w:t>
      </w:r>
    </w:p>
    <w:p w:rsidR="00463F8B" w:rsidRPr="00F5014A" w:rsidRDefault="00463F8B" w:rsidP="00463F8B">
      <w:pPr>
        <w:pStyle w:val="Paragrafoelenco"/>
        <w:numPr>
          <w:ilvl w:val="1"/>
          <w:numId w:val="3"/>
        </w:numPr>
        <w:spacing w:after="0"/>
        <w:jc w:val="both"/>
      </w:pPr>
      <w:r w:rsidRPr="00F5014A">
        <w:t>Annual coupon</w:t>
      </w:r>
    </w:p>
    <w:p w:rsidR="00463F8B" w:rsidRPr="00F5014A" w:rsidRDefault="00463F8B" w:rsidP="00463F8B">
      <w:pPr>
        <w:pStyle w:val="Paragrafoelenco"/>
        <w:numPr>
          <w:ilvl w:val="1"/>
          <w:numId w:val="3"/>
        </w:numPr>
        <w:spacing w:after="0"/>
        <w:jc w:val="both"/>
      </w:pPr>
      <w:r w:rsidRPr="00F5014A">
        <w:t>Coupon rate 3%</w:t>
      </w:r>
    </w:p>
    <w:p w:rsidR="00463F8B" w:rsidRPr="00F5014A" w:rsidRDefault="00463F8B" w:rsidP="00463F8B">
      <w:pPr>
        <w:pStyle w:val="Paragrafoelenco"/>
        <w:numPr>
          <w:ilvl w:val="1"/>
          <w:numId w:val="3"/>
        </w:numPr>
        <w:spacing w:after="0"/>
        <w:jc w:val="both"/>
      </w:pPr>
      <w:r w:rsidRPr="00F5014A">
        <w:t>Face value – 100</w:t>
      </w:r>
    </w:p>
    <w:p w:rsidR="00463F8B" w:rsidRPr="00F5014A" w:rsidRDefault="00463F8B" w:rsidP="00463F8B">
      <w:pPr>
        <w:pStyle w:val="Paragrafoelenco"/>
        <w:numPr>
          <w:ilvl w:val="1"/>
          <w:numId w:val="3"/>
        </w:numPr>
        <w:spacing w:after="0"/>
        <w:jc w:val="both"/>
      </w:pPr>
      <w:r w:rsidRPr="00F5014A">
        <w:t>Interest rate 2.5%</w:t>
      </w:r>
    </w:p>
    <w:p w:rsidR="008D6378" w:rsidRPr="00F5014A" w:rsidRDefault="00E65DCF" w:rsidP="00030CDB">
      <w:pPr>
        <w:pStyle w:val="Paragrafoelenco"/>
        <w:numPr>
          <w:ilvl w:val="0"/>
          <w:numId w:val="4"/>
        </w:numPr>
        <w:spacing w:before="240" w:after="0"/>
        <w:ind w:left="425" w:hanging="425"/>
        <w:contextualSpacing w:val="0"/>
        <w:jc w:val="both"/>
      </w:pPr>
      <w:r w:rsidRPr="00F5014A">
        <w:t xml:space="preserve">Suppose the following two bonds: </w:t>
      </w:r>
    </w:p>
    <w:p w:rsidR="00E65DCF" w:rsidRPr="00F5014A" w:rsidRDefault="00E65DCF" w:rsidP="00E65DCF">
      <w:pPr>
        <w:pStyle w:val="Paragrafoelenco"/>
        <w:numPr>
          <w:ilvl w:val="1"/>
          <w:numId w:val="3"/>
        </w:numPr>
        <w:spacing w:after="0"/>
        <w:jc w:val="both"/>
      </w:pPr>
      <w:r w:rsidRPr="00F5014A">
        <w:t>Bond A</w:t>
      </w:r>
    </w:p>
    <w:p w:rsidR="00E65DCF" w:rsidRPr="00F5014A" w:rsidRDefault="00E65DCF" w:rsidP="00E65DCF">
      <w:pPr>
        <w:pStyle w:val="Paragrafoelenco"/>
        <w:numPr>
          <w:ilvl w:val="2"/>
          <w:numId w:val="3"/>
        </w:numPr>
        <w:spacing w:after="0"/>
        <w:jc w:val="both"/>
      </w:pPr>
      <w:r w:rsidRPr="00F5014A">
        <w:t>3 years to maturity</w:t>
      </w:r>
    </w:p>
    <w:p w:rsidR="00E65DCF" w:rsidRPr="00F5014A" w:rsidRDefault="00E65DCF" w:rsidP="00E65DCF">
      <w:pPr>
        <w:pStyle w:val="Paragrafoelenco"/>
        <w:numPr>
          <w:ilvl w:val="2"/>
          <w:numId w:val="3"/>
        </w:numPr>
        <w:spacing w:after="0"/>
        <w:jc w:val="both"/>
      </w:pPr>
      <w:r w:rsidRPr="00F5014A">
        <w:lastRenderedPageBreak/>
        <w:t>Duration 2.3</w:t>
      </w:r>
    </w:p>
    <w:p w:rsidR="00E65DCF" w:rsidRPr="00F5014A" w:rsidRDefault="00E65DCF" w:rsidP="00E65DCF">
      <w:pPr>
        <w:pStyle w:val="Paragrafoelenco"/>
        <w:numPr>
          <w:ilvl w:val="1"/>
          <w:numId w:val="3"/>
        </w:numPr>
        <w:spacing w:after="0"/>
        <w:jc w:val="both"/>
      </w:pPr>
      <w:r w:rsidRPr="00F5014A">
        <w:t>Bond B</w:t>
      </w:r>
    </w:p>
    <w:p w:rsidR="00E65DCF" w:rsidRPr="00F5014A" w:rsidRDefault="00E65DCF" w:rsidP="00E65DCF">
      <w:pPr>
        <w:pStyle w:val="Paragrafoelenco"/>
        <w:numPr>
          <w:ilvl w:val="2"/>
          <w:numId w:val="3"/>
        </w:numPr>
        <w:spacing w:after="0"/>
        <w:jc w:val="both"/>
      </w:pPr>
      <w:r w:rsidRPr="00F5014A">
        <w:t>3 years to maturity</w:t>
      </w:r>
    </w:p>
    <w:p w:rsidR="00E65DCF" w:rsidRPr="00F5014A" w:rsidRDefault="00E65DCF" w:rsidP="00E65DCF">
      <w:pPr>
        <w:pStyle w:val="Paragrafoelenco"/>
        <w:numPr>
          <w:ilvl w:val="2"/>
          <w:numId w:val="3"/>
        </w:numPr>
        <w:spacing w:after="0"/>
        <w:jc w:val="both"/>
      </w:pPr>
      <w:r w:rsidRPr="00F5014A">
        <w:t>Duration 3</w:t>
      </w:r>
    </w:p>
    <w:p w:rsidR="00E65DCF" w:rsidRPr="00F5014A" w:rsidRDefault="00E65DCF" w:rsidP="00E65DCF">
      <w:pPr>
        <w:pStyle w:val="Paragrafoelenco"/>
        <w:spacing w:after="0"/>
        <w:jc w:val="both"/>
      </w:pPr>
      <w:r w:rsidRPr="00F5014A">
        <w:t>Which is the less risky bond?</w:t>
      </w:r>
    </w:p>
    <w:p w:rsidR="00E65DCF" w:rsidRDefault="00E65DCF" w:rsidP="00E65DCF">
      <w:pPr>
        <w:pStyle w:val="Paragrafoelenco"/>
        <w:spacing w:after="0"/>
        <w:jc w:val="both"/>
      </w:pPr>
      <w:r w:rsidRPr="00F5014A">
        <w:t>Which is the zero-coupon bond?</w:t>
      </w:r>
    </w:p>
    <w:p w:rsidR="00F5014A" w:rsidRDefault="0006731A" w:rsidP="00030CDB">
      <w:pPr>
        <w:pStyle w:val="Paragrafoelenco"/>
        <w:numPr>
          <w:ilvl w:val="0"/>
          <w:numId w:val="4"/>
        </w:numPr>
        <w:spacing w:before="240" w:after="0"/>
        <w:ind w:left="426" w:hanging="426"/>
        <w:contextualSpacing w:val="0"/>
        <w:jc w:val="both"/>
      </w:pPr>
      <w:r>
        <w:t>Consider the cash flows reported in the table below</w:t>
      </w:r>
      <w:r w:rsidR="00C43719">
        <w:t>. Assuming that market interest rates are 12% and that they remain constant over time</w:t>
      </w:r>
      <w:r>
        <w:t>:</w:t>
      </w:r>
    </w:p>
    <w:p w:rsidR="0006731A" w:rsidRDefault="0006731A" w:rsidP="00030CDB">
      <w:pPr>
        <w:pStyle w:val="Paragrafoelenco"/>
        <w:numPr>
          <w:ilvl w:val="1"/>
          <w:numId w:val="3"/>
        </w:numPr>
        <w:spacing w:after="0"/>
        <w:ind w:left="851" w:hanging="426"/>
        <w:jc w:val="both"/>
      </w:pPr>
      <w:r>
        <w:t>What price would you pay for these cash flows?</w:t>
      </w:r>
    </w:p>
    <w:p w:rsidR="0006731A" w:rsidRDefault="0006731A" w:rsidP="00030CDB">
      <w:pPr>
        <w:pStyle w:val="Paragrafoelenco"/>
        <w:numPr>
          <w:ilvl w:val="1"/>
          <w:numId w:val="3"/>
        </w:numPr>
        <w:spacing w:after="0"/>
        <w:ind w:left="851" w:hanging="426"/>
        <w:jc w:val="both"/>
      </w:pPr>
      <w:r>
        <w:t>What total wealth do you expect after 2.5 years if you sell the rights to the remaining cash flows?</w:t>
      </w:r>
    </w:p>
    <w:tbl>
      <w:tblPr>
        <w:tblStyle w:val="Grigliatabella"/>
        <w:tblW w:w="0" w:type="auto"/>
        <w:tblInd w:w="720" w:type="dxa"/>
        <w:tblLook w:val="04A0" w:firstRow="1" w:lastRow="0" w:firstColumn="1" w:lastColumn="0" w:noHBand="0" w:noVBand="1"/>
      </w:tblPr>
      <w:tblGrid>
        <w:gridCol w:w="1570"/>
        <w:gridCol w:w="1508"/>
        <w:gridCol w:w="1541"/>
        <w:gridCol w:w="1541"/>
        <w:gridCol w:w="1541"/>
        <w:gridCol w:w="1541"/>
      </w:tblGrid>
      <w:tr w:rsidR="00030CDB" w:rsidTr="00C43719">
        <w:tc>
          <w:tcPr>
            <w:tcW w:w="1660" w:type="dxa"/>
          </w:tcPr>
          <w:p w:rsidR="00C43719" w:rsidRDefault="00C43719" w:rsidP="00030CDB">
            <w:pPr>
              <w:ind w:left="426" w:hanging="426"/>
              <w:jc w:val="both"/>
            </w:pPr>
            <w:r>
              <w:t>Year</w:t>
            </w:r>
          </w:p>
        </w:tc>
        <w:tc>
          <w:tcPr>
            <w:tcW w:w="1660" w:type="dxa"/>
          </w:tcPr>
          <w:p w:rsidR="00C43719" w:rsidRDefault="00C43719" w:rsidP="00030CDB">
            <w:pPr>
              <w:ind w:left="426" w:right="282" w:hanging="426"/>
              <w:jc w:val="right"/>
            </w:pPr>
            <w:r>
              <w:t>0</w:t>
            </w:r>
          </w:p>
        </w:tc>
        <w:tc>
          <w:tcPr>
            <w:tcW w:w="1660" w:type="dxa"/>
          </w:tcPr>
          <w:p w:rsidR="00C43719" w:rsidRDefault="00C43719" w:rsidP="00030CDB">
            <w:pPr>
              <w:ind w:left="426" w:right="282" w:hanging="426"/>
              <w:jc w:val="right"/>
            </w:pPr>
            <w:r>
              <w:t>1</w:t>
            </w:r>
          </w:p>
        </w:tc>
        <w:tc>
          <w:tcPr>
            <w:tcW w:w="1660" w:type="dxa"/>
          </w:tcPr>
          <w:p w:rsidR="00C43719" w:rsidRDefault="00C43719" w:rsidP="00030CDB">
            <w:pPr>
              <w:ind w:left="426" w:right="282" w:hanging="426"/>
              <w:jc w:val="right"/>
            </w:pPr>
            <w:r>
              <w:t>2</w:t>
            </w:r>
          </w:p>
        </w:tc>
        <w:tc>
          <w:tcPr>
            <w:tcW w:w="1661" w:type="dxa"/>
          </w:tcPr>
          <w:p w:rsidR="00C43719" w:rsidRDefault="00C43719" w:rsidP="00030CDB">
            <w:pPr>
              <w:ind w:left="426" w:right="282" w:hanging="426"/>
              <w:jc w:val="right"/>
            </w:pPr>
            <w:r>
              <w:t>3</w:t>
            </w:r>
          </w:p>
        </w:tc>
        <w:tc>
          <w:tcPr>
            <w:tcW w:w="1661" w:type="dxa"/>
          </w:tcPr>
          <w:p w:rsidR="00C43719" w:rsidRDefault="00C43719" w:rsidP="00030CDB">
            <w:pPr>
              <w:ind w:left="426" w:right="282" w:hanging="426"/>
              <w:jc w:val="right"/>
            </w:pPr>
            <w:r>
              <w:t>4</w:t>
            </w:r>
          </w:p>
        </w:tc>
      </w:tr>
      <w:tr w:rsidR="00030CDB" w:rsidTr="00C43719">
        <w:tc>
          <w:tcPr>
            <w:tcW w:w="1660" w:type="dxa"/>
          </w:tcPr>
          <w:p w:rsidR="00C43719" w:rsidRDefault="00C43719" w:rsidP="00030CDB">
            <w:pPr>
              <w:ind w:left="426" w:hanging="426"/>
              <w:jc w:val="both"/>
            </w:pPr>
            <w:r>
              <w:t>Cash flow</w:t>
            </w:r>
          </w:p>
        </w:tc>
        <w:tc>
          <w:tcPr>
            <w:tcW w:w="1660" w:type="dxa"/>
          </w:tcPr>
          <w:p w:rsidR="00C43719" w:rsidRDefault="00C43719" w:rsidP="00030CDB">
            <w:pPr>
              <w:ind w:left="426" w:right="282" w:hanging="426"/>
              <w:jc w:val="right"/>
            </w:pPr>
          </w:p>
        </w:tc>
        <w:tc>
          <w:tcPr>
            <w:tcW w:w="1660" w:type="dxa"/>
          </w:tcPr>
          <w:p w:rsidR="00C43719" w:rsidRDefault="00C43719" w:rsidP="00030CDB">
            <w:pPr>
              <w:ind w:left="426" w:right="282" w:hanging="426"/>
              <w:jc w:val="right"/>
            </w:pPr>
            <w:r>
              <w:t>160</w:t>
            </w:r>
          </w:p>
        </w:tc>
        <w:tc>
          <w:tcPr>
            <w:tcW w:w="1660" w:type="dxa"/>
          </w:tcPr>
          <w:p w:rsidR="00C43719" w:rsidRDefault="00C43719" w:rsidP="00030CDB">
            <w:pPr>
              <w:ind w:left="426" w:right="282" w:hanging="426"/>
              <w:jc w:val="right"/>
            </w:pPr>
            <w:r>
              <w:t>170</w:t>
            </w:r>
          </w:p>
        </w:tc>
        <w:tc>
          <w:tcPr>
            <w:tcW w:w="1661" w:type="dxa"/>
          </w:tcPr>
          <w:p w:rsidR="00C43719" w:rsidRDefault="00C43719" w:rsidP="00030CDB">
            <w:pPr>
              <w:ind w:left="426" w:right="282" w:hanging="426"/>
              <w:jc w:val="right"/>
            </w:pPr>
            <w:r>
              <w:t>180</w:t>
            </w:r>
          </w:p>
        </w:tc>
        <w:tc>
          <w:tcPr>
            <w:tcW w:w="1661" w:type="dxa"/>
          </w:tcPr>
          <w:p w:rsidR="00C43719" w:rsidRDefault="00C43719" w:rsidP="00030CDB">
            <w:pPr>
              <w:ind w:left="426" w:right="282" w:hanging="426"/>
              <w:jc w:val="right"/>
            </w:pPr>
            <w:r>
              <w:t>230</w:t>
            </w:r>
          </w:p>
        </w:tc>
      </w:tr>
    </w:tbl>
    <w:p w:rsidR="00030CDB" w:rsidRDefault="00BB4C8C" w:rsidP="00030CDB">
      <w:pPr>
        <w:pStyle w:val="Paragrafoelenco"/>
        <w:numPr>
          <w:ilvl w:val="0"/>
          <w:numId w:val="4"/>
        </w:numPr>
        <w:spacing w:before="240" w:after="0"/>
        <w:ind w:left="426" w:hanging="426"/>
        <w:jc w:val="both"/>
      </w:pPr>
      <w:r>
        <w:t>Compute the price and the duration of the following bonds supposing that the interest rates are 12% and that they remain constant over time</w:t>
      </w:r>
      <w:r w:rsidR="00260300">
        <w:t>. Briefly comment the differences.</w:t>
      </w:r>
    </w:p>
    <w:tbl>
      <w:tblPr>
        <w:tblStyle w:val="Grigliatabella"/>
        <w:tblW w:w="0" w:type="auto"/>
        <w:tblInd w:w="720" w:type="dxa"/>
        <w:tblLook w:val="04A0" w:firstRow="1" w:lastRow="0" w:firstColumn="1" w:lastColumn="0" w:noHBand="0" w:noVBand="1"/>
      </w:tblPr>
      <w:tblGrid>
        <w:gridCol w:w="1541"/>
        <w:gridCol w:w="1536"/>
        <w:gridCol w:w="1537"/>
        <w:gridCol w:w="1537"/>
        <w:gridCol w:w="1538"/>
        <w:gridCol w:w="1553"/>
      </w:tblGrid>
      <w:tr w:rsidR="00260300" w:rsidTr="003F52FC">
        <w:tc>
          <w:tcPr>
            <w:tcW w:w="1660" w:type="dxa"/>
          </w:tcPr>
          <w:p w:rsidR="00BB4C8C" w:rsidRDefault="00BB4C8C" w:rsidP="003F52FC">
            <w:pPr>
              <w:ind w:left="426" w:hanging="426"/>
              <w:jc w:val="both"/>
            </w:pPr>
            <w:r>
              <w:t>Year</w:t>
            </w:r>
          </w:p>
        </w:tc>
        <w:tc>
          <w:tcPr>
            <w:tcW w:w="1660" w:type="dxa"/>
          </w:tcPr>
          <w:p w:rsidR="00BB4C8C" w:rsidRDefault="00BB4C8C" w:rsidP="003F52FC">
            <w:pPr>
              <w:ind w:left="426" w:right="282" w:hanging="426"/>
              <w:jc w:val="right"/>
            </w:pPr>
            <w:r>
              <w:t>0</w:t>
            </w:r>
          </w:p>
        </w:tc>
        <w:tc>
          <w:tcPr>
            <w:tcW w:w="1660" w:type="dxa"/>
          </w:tcPr>
          <w:p w:rsidR="00BB4C8C" w:rsidRDefault="00BB4C8C" w:rsidP="003F52FC">
            <w:pPr>
              <w:ind w:left="426" w:right="282" w:hanging="426"/>
              <w:jc w:val="right"/>
            </w:pPr>
            <w:r>
              <w:t>1</w:t>
            </w:r>
          </w:p>
        </w:tc>
        <w:tc>
          <w:tcPr>
            <w:tcW w:w="1660" w:type="dxa"/>
          </w:tcPr>
          <w:p w:rsidR="00BB4C8C" w:rsidRDefault="00BB4C8C" w:rsidP="003F52FC">
            <w:pPr>
              <w:ind w:left="426" w:right="282" w:hanging="426"/>
              <w:jc w:val="right"/>
            </w:pPr>
            <w:r>
              <w:t>2</w:t>
            </w:r>
          </w:p>
        </w:tc>
        <w:tc>
          <w:tcPr>
            <w:tcW w:w="1661" w:type="dxa"/>
          </w:tcPr>
          <w:p w:rsidR="00BB4C8C" w:rsidRDefault="00BB4C8C" w:rsidP="003F52FC">
            <w:pPr>
              <w:ind w:left="426" w:right="282" w:hanging="426"/>
              <w:jc w:val="right"/>
            </w:pPr>
            <w:r>
              <w:t>3</w:t>
            </w:r>
          </w:p>
        </w:tc>
        <w:tc>
          <w:tcPr>
            <w:tcW w:w="1661" w:type="dxa"/>
          </w:tcPr>
          <w:p w:rsidR="00BB4C8C" w:rsidRDefault="00BB4C8C" w:rsidP="003F52FC">
            <w:pPr>
              <w:ind w:left="426" w:right="282" w:hanging="426"/>
              <w:jc w:val="right"/>
            </w:pPr>
            <w:r>
              <w:t>4</w:t>
            </w:r>
          </w:p>
        </w:tc>
      </w:tr>
      <w:tr w:rsidR="00260300" w:rsidTr="003F52FC">
        <w:tc>
          <w:tcPr>
            <w:tcW w:w="1660" w:type="dxa"/>
          </w:tcPr>
          <w:p w:rsidR="00BB4C8C" w:rsidRDefault="00BB4C8C" w:rsidP="003F52FC">
            <w:pPr>
              <w:ind w:left="426" w:hanging="426"/>
              <w:jc w:val="both"/>
            </w:pPr>
            <w:r>
              <w:t>Bond 1</w:t>
            </w:r>
          </w:p>
        </w:tc>
        <w:tc>
          <w:tcPr>
            <w:tcW w:w="1660" w:type="dxa"/>
          </w:tcPr>
          <w:p w:rsidR="00BB4C8C" w:rsidRDefault="00BB4C8C" w:rsidP="003F52FC">
            <w:pPr>
              <w:ind w:left="426" w:right="282" w:hanging="426"/>
              <w:jc w:val="right"/>
            </w:pPr>
            <w:r>
              <w:t>P?</w:t>
            </w:r>
          </w:p>
        </w:tc>
        <w:tc>
          <w:tcPr>
            <w:tcW w:w="1660" w:type="dxa"/>
          </w:tcPr>
          <w:p w:rsidR="00BB4C8C" w:rsidRDefault="00BB4C8C" w:rsidP="003F52FC">
            <w:pPr>
              <w:ind w:left="426" w:right="282" w:hanging="426"/>
              <w:jc w:val="right"/>
            </w:pPr>
            <w:r>
              <w:t>5</w:t>
            </w:r>
          </w:p>
        </w:tc>
        <w:tc>
          <w:tcPr>
            <w:tcW w:w="1660" w:type="dxa"/>
          </w:tcPr>
          <w:p w:rsidR="00BB4C8C" w:rsidRDefault="00BB4C8C" w:rsidP="003F52FC">
            <w:pPr>
              <w:ind w:left="426" w:right="282" w:hanging="426"/>
              <w:jc w:val="right"/>
            </w:pPr>
            <w:r>
              <w:t>5</w:t>
            </w:r>
          </w:p>
        </w:tc>
        <w:tc>
          <w:tcPr>
            <w:tcW w:w="1661" w:type="dxa"/>
          </w:tcPr>
          <w:p w:rsidR="00BB4C8C" w:rsidRDefault="00BB4C8C" w:rsidP="003F52FC">
            <w:pPr>
              <w:ind w:left="426" w:right="282" w:hanging="426"/>
              <w:jc w:val="right"/>
            </w:pPr>
            <w:r>
              <w:t>5</w:t>
            </w:r>
          </w:p>
        </w:tc>
        <w:tc>
          <w:tcPr>
            <w:tcW w:w="1661" w:type="dxa"/>
          </w:tcPr>
          <w:p w:rsidR="00BB4C8C" w:rsidRDefault="00BB4C8C" w:rsidP="003F52FC">
            <w:pPr>
              <w:ind w:left="426" w:right="282" w:hanging="426"/>
              <w:jc w:val="right"/>
            </w:pPr>
            <w:r>
              <w:t>105</w:t>
            </w:r>
          </w:p>
        </w:tc>
      </w:tr>
      <w:tr w:rsidR="00BB4C8C" w:rsidTr="003F52FC">
        <w:tc>
          <w:tcPr>
            <w:tcW w:w="1660" w:type="dxa"/>
          </w:tcPr>
          <w:p w:rsidR="00BB4C8C" w:rsidRDefault="00BB4C8C" w:rsidP="003F52FC">
            <w:pPr>
              <w:ind w:left="426" w:hanging="426"/>
              <w:jc w:val="both"/>
            </w:pPr>
            <w:r>
              <w:t>Bond 2</w:t>
            </w:r>
          </w:p>
        </w:tc>
        <w:tc>
          <w:tcPr>
            <w:tcW w:w="1660" w:type="dxa"/>
          </w:tcPr>
          <w:p w:rsidR="00BB4C8C" w:rsidRDefault="00BB4C8C" w:rsidP="003F52FC">
            <w:pPr>
              <w:ind w:left="426" w:right="282" w:hanging="426"/>
              <w:jc w:val="right"/>
            </w:pPr>
            <w:r>
              <w:t>P?</w:t>
            </w:r>
          </w:p>
        </w:tc>
        <w:tc>
          <w:tcPr>
            <w:tcW w:w="1660" w:type="dxa"/>
          </w:tcPr>
          <w:p w:rsidR="00BB4C8C" w:rsidRDefault="00BB4C8C" w:rsidP="003F52FC">
            <w:pPr>
              <w:ind w:left="426" w:right="282" w:hanging="426"/>
              <w:jc w:val="right"/>
            </w:pPr>
            <w:r>
              <w:t>-</w:t>
            </w:r>
          </w:p>
        </w:tc>
        <w:tc>
          <w:tcPr>
            <w:tcW w:w="1660" w:type="dxa"/>
          </w:tcPr>
          <w:p w:rsidR="00BB4C8C" w:rsidRDefault="00BB4C8C" w:rsidP="003F52FC">
            <w:pPr>
              <w:ind w:left="426" w:right="282" w:hanging="426"/>
              <w:jc w:val="right"/>
            </w:pPr>
            <w:r>
              <w:t>-</w:t>
            </w:r>
          </w:p>
        </w:tc>
        <w:tc>
          <w:tcPr>
            <w:tcW w:w="1661" w:type="dxa"/>
          </w:tcPr>
          <w:p w:rsidR="00BB4C8C" w:rsidRDefault="00BB4C8C" w:rsidP="003F52FC">
            <w:pPr>
              <w:ind w:left="426" w:right="282" w:hanging="426"/>
              <w:jc w:val="right"/>
            </w:pPr>
            <w:r>
              <w:t>-</w:t>
            </w:r>
          </w:p>
        </w:tc>
        <w:tc>
          <w:tcPr>
            <w:tcW w:w="1661" w:type="dxa"/>
          </w:tcPr>
          <w:p w:rsidR="00BB4C8C" w:rsidRDefault="00BB4C8C" w:rsidP="003F52FC">
            <w:pPr>
              <w:ind w:left="426" w:right="282" w:hanging="426"/>
              <w:jc w:val="right"/>
            </w:pPr>
            <w:r>
              <w:t>115</w:t>
            </w:r>
          </w:p>
        </w:tc>
      </w:tr>
      <w:tr w:rsidR="00BB4C8C" w:rsidTr="003F52FC">
        <w:tc>
          <w:tcPr>
            <w:tcW w:w="1660" w:type="dxa"/>
          </w:tcPr>
          <w:p w:rsidR="00BB4C8C" w:rsidRDefault="00BB4C8C" w:rsidP="003F52FC">
            <w:pPr>
              <w:ind w:left="426" w:hanging="426"/>
              <w:jc w:val="both"/>
            </w:pPr>
            <w:r>
              <w:t>Bond 3</w:t>
            </w:r>
          </w:p>
        </w:tc>
        <w:tc>
          <w:tcPr>
            <w:tcW w:w="1660" w:type="dxa"/>
          </w:tcPr>
          <w:p w:rsidR="00BB4C8C" w:rsidRDefault="00BB4C8C" w:rsidP="003F52FC">
            <w:pPr>
              <w:ind w:left="426" w:right="282" w:hanging="426"/>
              <w:jc w:val="right"/>
            </w:pPr>
            <w:r>
              <w:t>P?</w:t>
            </w:r>
          </w:p>
        </w:tc>
        <w:tc>
          <w:tcPr>
            <w:tcW w:w="1660" w:type="dxa"/>
          </w:tcPr>
          <w:p w:rsidR="00BB4C8C" w:rsidRDefault="00260300" w:rsidP="003F52FC">
            <w:pPr>
              <w:ind w:left="426" w:right="282" w:hanging="426"/>
              <w:jc w:val="right"/>
            </w:pPr>
            <w:r>
              <w:t>35</w:t>
            </w:r>
          </w:p>
        </w:tc>
        <w:tc>
          <w:tcPr>
            <w:tcW w:w="1660" w:type="dxa"/>
          </w:tcPr>
          <w:p w:rsidR="00BB4C8C" w:rsidRDefault="00260300" w:rsidP="003F52FC">
            <w:pPr>
              <w:ind w:left="426" w:right="282" w:hanging="426"/>
              <w:jc w:val="right"/>
            </w:pPr>
            <w:r>
              <w:t>35</w:t>
            </w:r>
          </w:p>
        </w:tc>
        <w:tc>
          <w:tcPr>
            <w:tcW w:w="1661" w:type="dxa"/>
          </w:tcPr>
          <w:p w:rsidR="00BB4C8C" w:rsidRDefault="00260300" w:rsidP="003F52FC">
            <w:pPr>
              <w:ind w:left="426" w:right="282" w:hanging="426"/>
              <w:jc w:val="right"/>
            </w:pPr>
            <w:r>
              <w:t>35</w:t>
            </w:r>
          </w:p>
        </w:tc>
        <w:tc>
          <w:tcPr>
            <w:tcW w:w="1661" w:type="dxa"/>
          </w:tcPr>
          <w:p w:rsidR="00BB4C8C" w:rsidRDefault="00260300" w:rsidP="003F52FC">
            <w:pPr>
              <w:ind w:left="426" w:right="282" w:hanging="426"/>
              <w:jc w:val="right"/>
            </w:pPr>
            <w:r>
              <w:t>35</w:t>
            </w:r>
          </w:p>
        </w:tc>
      </w:tr>
    </w:tbl>
    <w:p w:rsidR="00BB4C8C" w:rsidRPr="00F5014A" w:rsidRDefault="00BB4C8C" w:rsidP="00BB4C8C">
      <w:pPr>
        <w:spacing w:before="240" w:after="0"/>
        <w:jc w:val="both"/>
      </w:pPr>
    </w:p>
    <w:sectPr w:rsidR="00BB4C8C" w:rsidRPr="00F5014A">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8FC"/>
    <w:multiLevelType w:val="hybridMultilevel"/>
    <w:tmpl w:val="D912185C"/>
    <w:lvl w:ilvl="0" w:tplc="3C8A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E1052"/>
    <w:multiLevelType w:val="hybridMultilevel"/>
    <w:tmpl w:val="BA749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55F6"/>
    <w:multiLevelType w:val="hybridMultilevel"/>
    <w:tmpl w:val="9A647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871FC"/>
    <w:multiLevelType w:val="hybridMultilevel"/>
    <w:tmpl w:val="5D00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B9"/>
    <w:rsid w:val="00030CDB"/>
    <w:rsid w:val="00042C46"/>
    <w:rsid w:val="0006731A"/>
    <w:rsid w:val="00081DB7"/>
    <w:rsid w:val="000A32F7"/>
    <w:rsid w:val="00165CEA"/>
    <w:rsid w:val="0019239E"/>
    <w:rsid w:val="00202D9C"/>
    <w:rsid w:val="00227642"/>
    <w:rsid w:val="0023232E"/>
    <w:rsid w:val="00260300"/>
    <w:rsid w:val="002A5F78"/>
    <w:rsid w:val="002E1667"/>
    <w:rsid w:val="002E7F45"/>
    <w:rsid w:val="002F32F0"/>
    <w:rsid w:val="00301624"/>
    <w:rsid w:val="003775BF"/>
    <w:rsid w:val="003B64CF"/>
    <w:rsid w:val="003D0A7D"/>
    <w:rsid w:val="00436A86"/>
    <w:rsid w:val="00445356"/>
    <w:rsid w:val="00463F8B"/>
    <w:rsid w:val="004F548F"/>
    <w:rsid w:val="005B3E0C"/>
    <w:rsid w:val="00655EB2"/>
    <w:rsid w:val="00676E91"/>
    <w:rsid w:val="0071107A"/>
    <w:rsid w:val="00776373"/>
    <w:rsid w:val="007817E2"/>
    <w:rsid w:val="007D2F56"/>
    <w:rsid w:val="007E520D"/>
    <w:rsid w:val="007E650E"/>
    <w:rsid w:val="0088088E"/>
    <w:rsid w:val="008D6378"/>
    <w:rsid w:val="008F610C"/>
    <w:rsid w:val="00942205"/>
    <w:rsid w:val="00957E50"/>
    <w:rsid w:val="009E7A43"/>
    <w:rsid w:val="00A07211"/>
    <w:rsid w:val="00A4264E"/>
    <w:rsid w:val="00A60AB3"/>
    <w:rsid w:val="00A81EBD"/>
    <w:rsid w:val="00AB6901"/>
    <w:rsid w:val="00AE50E0"/>
    <w:rsid w:val="00AF17DD"/>
    <w:rsid w:val="00B360EA"/>
    <w:rsid w:val="00B87ABE"/>
    <w:rsid w:val="00B93470"/>
    <w:rsid w:val="00BB4C8C"/>
    <w:rsid w:val="00BF30D6"/>
    <w:rsid w:val="00C15A5A"/>
    <w:rsid w:val="00C33C2D"/>
    <w:rsid w:val="00C43719"/>
    <w:rsid w:val="00C52CD3"/>
    <w:rsid w:val="00CA5123"/>
    <w:rsid w:val="00CC055F"/>
    <w:rsid w:val="00CF4C7D"/>
    <w:rsid w:val="00D36AF9"/>
    <w:rsid w:val="00DC54D5"/>
    <w:rsid w:val="00DE53F9"/>
    <w:rsid w:val="00E10C65"/>
    <w:rsid w:val="00E32031"/>
    <w:rsid w:val="00E35CD8"/>
    <w:rsid w:val="00E471EB"/>
    <w:rsid w:val="00E65DCF"/>
    <w:rsid w:val="00E854B9"/>
    <w:rsid w:val="00E977EE"/>
    <w:rsid w:val="00EA2A00"/>
    <w:rsid w:val="00EA42B7"/>
    <w:rsid w:val="00EC5B04"/>
    <w:rsid w:val="00F039BE"/>
    <w:rsid w:val="00F07EE9"/>
    <w:rsid w:val="00F10F10"/>
    <w:rsid w:val="00F33EB7"/>
    <w:rsid w:val="00F5014A"/>
    <w:rsid w:val="00F540E0"/>
    <w:rsid w:val="00F7376B"/>
    <w:rsid w:val="00F951B7"/>
    <w:rsid w:val="00FA3DB3"/>
    <w:rsid w:val="00FD660B"/>
    <w:rsid w:val="00FE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0110"/>
  <w15:chartTrackingRefBased/>
  <w15:docId w15:val="{EC2EBB13-F949-49FE-88BC-12701D9A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42B7"/>
    <w:pPr>
      <w:ind w:left="720"/>
      <w:contextualSpacing/>
    </w:pPr>
  </w:style>
  <w:style w:type="character" w:styleId="Testosegnaposto">
    <w:name w:val="Placeholder Text"/>
    <w:basedOn w:val="Carpredefinitoparagrafo"/>
    <w:uiPriority w:val="99"/>
    <w:semiHidden/>
    <w:rsid w:val="00B93470"/>
    <w:rPr>
      <w:color w:val="808080"/>
    </w:rPr>
  </w:style>
  <w:style w:type="table" w:styleId="Grigliatabella">
    <w:name w:val="Table Grid"/>
    <w:basedOn w:val="Tabellanormale"/>
    <w:uiPriority w:val="39"/>
    <w:rsid w:val="00C4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1097</Words>
  <Characters>6254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Vena</dc:creator>
  <cp:keywords/>
  <dc:description/>
  <cp:lastModifiedBy>massimo armanini</cp:lastModifiedBy>
  <cp:revision>4</cp:revision>
  <cp:lastPrinted>2018-11-20T17:20:00Z</cp:lastPrinted>
  <dcterms:created xsi:type="dcterms:W3CDTF">2018-11-20T17:20:00Z</dcterms:created>
  <dcterms:modified xsi:type="dcterms:W3CDTF">2018-11-20T17:59:00Z</dcterms:modified>
</cp:coreProperties>
</file>