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340C" w:rsidRPr="0088340C" w:rsidRDefault="0088340C" w:rsidP="0088340C">
      <w:pPr>
        <w:shd w:val="clear" w:color="auto" w:fill="FFFFFF"/>
        <w:spacing w:after="0"/>
        <w:outlineLvl w:val="0"/>
        <w:rPr>
          <w:rFonts w:ascii="Arial" w:hAnsi="Arial"/>
          <w:color w:val="024664"/>
          <w:kern w:val="36"/>
          <w:sz w:val="45"/>
          <w:szCs w:val="45"/>
          <w:lang w:val="it-IT"/>
        </w:rPr>
      </w:pPr>
      <w:r w:rsidRPr="0088340C">
        <w:rPr>
          <w:rFonts w:ascii="Arial" w:hAnsi="Arial"/>
          <w:color w:val="024664"/>
          <w:kern w:val="36"/>
          <w:sz w:val="45"/>
          <w:szCs w:val="45"/>
          <w:lang w:val="it-IT"/>
        </w:rPr>
        <w:t>Autobiography</w:t>
      </w:r>
    </w:p>
    <w:p w:rsidR="0088340C" w:rsidRPr="0088340C" w:rsidRDefault="0088340C" w:rsidP="0088340C">
      <w:pPr>
        <w:shd w:val="clear" w:color="auto" w:fill="FFFFFF"/>
        <w:spacing w:after="0" w:line="300" w:lineRule="atLeast"/>
        <w:rPr>
          <w:rFonts w:ascii="Arial" w:hAnsi="Arial" w:cs="Times New Roman"/>
          <w:color w:val="000000"/>
          <w:lang w:val="it-IT"/>
        </w:rPr>
      </w:pPr>
      <w:r>
        <w:rPr>
          <w:rFonts w:ascii="Arial" w:hAnsi="Arial" w:cs="Times New Roman"/>
          <w:noProof/>
          <w:color w:val="000000"/>
          <w:lang w:val="en-US"/>
        </w:rPr>
        <w:drawing>
          <wp:inline distT="0" distB="0" distL="0" distR="0">
            <wp:extent cx="2057400" cy="2882900"/>
            <wp:effectExtent l="25400" t="0" r="0" b="0"/>
            <wp:docPr id="1" name="Picture 1" descr="arry M. Markow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y M. Markowit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I was born in Chicago in 1927, the only child of Morris and Mildred Markowitz who owned a small grocery store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. We lived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in a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 nice apartment, always had enough to eat, and I had my own room. I never was aware of the Great Depression.</w:t>
      </w:r>
      <w:r w:rsidRPr="0088340C">
        <w:rPr>
          <w:rFonts w:ascii="Arial" w:hAnsi="Arial" w:cs="Times New Roman"/>
          <w:color w:val="000000"/>
          <w:lang w:val="it-IT"/>
        </w:rPr>
        <w:br/>
      </w:r>
      <w:r w:rsidRPr="0088340C">
        <w:rPr>
          <w:rFonts w:ascii="Arial" w:hAnsi="Arial" w:cs="Times New Roman"/>
          <w:color w:val="000000"/>
          <w:lang w:val="it-IT"/>
        </w:rPr>
        <w:br/>
        <w:t xml:space="preserve">Growing up, I enjoyed baseball and tag football in the nearby empty lot or the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park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 a few blocks away, and playing the violin in the high school orchestra.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I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 also enjoyed reading.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At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 first, my reading material consisted of comic books and adventure magazines, such as </w:t>
      </w:r>
      <w:r w:rsidRPr="0088340C">
        <w:rPr>
          <w:rFonts w:ascii="Arial" w:hAnsi="Arial" w:cs="Times New Roman"/>
          <w:i/>
          <w:color w:val="000000"/>
          <w:lang w:val="it-IT"/>
        </w:rPr>
        <w:t>The Shadow</w:t>
      </w:r>
      <w:r w:rsidRPr="0088340C">
        <w:rPr>
          <w:rFonts w:ascii="Arial" w:hAnsi="Arial" w:cs="Times New Roman"/>
          <w:color w:val="000000"/>
          <w:lang w:val="it-IT"/>
        </w:rPr>
        <w:t xml:space="preserve">, in addition to school assignments.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In late grammar school and throughout high school I enjoyed popular accounts of physics and astronomy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.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In high school I also began to read original works of serious philosophers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.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I was particularly struck by David Hume's argument that, though we release a ball a thousand times, and each time, it falls to the floor, we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 do not have a necessary proof that it will fall the thousand-and-first time.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I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 also read </w:t>
      </w:r>
      <w:r w:rsidRPr="0088340C">
        <w:rPr>
          <w:rFonts w:ascii="Arial" w:hAnsi="Arial" w:cs="Times New Roman"/>
          <w:i/>
          <w:color w:val="000000"/>
          <w:lang w:val="it-IT"/>
        </w:rPr>
        <w:t>The Origin of Species</w:t>
      </w:r>
      <w:r w:rsidRPr="0088340C">
        <w:rPr>
          <w:rFonts w:ascii="Arial" w:hAnsi="Arial" w:cs="Times New Roman"/>
          <w:color w:val="000000"/>
          <w:lang w:val="it-IT"/>
        </w:rPr>
        <w:t> and was moved by Darwin's marshalling of facts and careful consideration of possible objections.</w:t>
      </w:r>
      <w:r w:rsidRPr="0088340C">
        <w:rPr>
          <w:rFonts w:ascii="Arial" w:hAnsi="Arial" w:cs="Times New Roman"/>
          <w:color w:val="000000"/>
          <w:lang w:val="it-IT"/>
        </w:rPr>
        <w:br/>
      </w:r>
      <w:r w:rsidRPr="0088340C">
        <w:rPr>
          <w:rFonts w:ascii="Arial" w:hAnsi="Arial" w:cs="Times New Roman"/>
          <w:color w:val="000000"/>
          <w:lang w:val="it-IT"/>
        </w:rPr>
        <w:br/>
      </w:r>
      <w:proofErr w:type="gramStart"/>
      <w:r w:rsidRPr="0088340C">
        <w:rPr>
          <w:rFonts w:ascii="Arial" w:hAnsi="Arial" w:cs="Times New Roman"/>
          <w:color w:val="000000"/>
          <w:lang w:val="it-IT"/>
        </w:rPr>
        <w:t xml:space="preserve">From 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high school, I entered the University of Chicago and took its two year Bachelor's program which emphasized the reading of original materials where possible. Everything in the program was interesting, but I was especially interested in the philosophers we read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in a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 course called OII: Observation, Interpretation and Integration.</w:t>
      </w:r>
      <w:r w:rsidRPr="0088340C">
        <w:rPr>
          <w:rFonts w:ascii="Arial" w:hAnsi="Arial" w:cs="Times New Roman"/>
          <w:color w:val="000000"/>
          <w:lang w:val="it-IT"/>
        </w:rPr>
        <w:br/>
      </w:r>
      <w:r w:rsidRPr="0088340C">
        <w:rPr>
          <w:rFonts w:ascii="Arial" w:hAnsi="Arial" w:cs="Times New Roman"/>
          <w:color w:val="000000"/>
          <w:lang w:val="it-IT"/>
        </w:rPr>
        <w:br/>
        <w:t xml:space="preserve">Becoming an economist was not a childhood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dream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 of mine. When I finished the Bachelor's degree and had to choose an upper division, I considered the matter for a short while and decided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 xml:space="preserve">on 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Economics. Micro and macro were all very fine, but eventually it was the "Economics of Uncertainty" which interested me--in particular, the Von Neumann and Morgenstern and the Marschak arguments concerning expected utility; the Friedman-Savage utility function; and L.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J.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 Savage's defense of personal probability.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I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 had the good fortune to have </w:t>
      </w:r>
      <w:hyperlink r:id="rId5" w:history="1">
        <w:r w:rsidRPr="0088340C">
          <w:rPr>
            <w:rFonts w:ascii="Arial" w:hAnsi="Arial" w:cs="Times New Roman"/>
            <w:color w:val="307598"/>
            <w:lang w:val="it-IT"/>
          </w:rPr>
          <w:t>Friedman</w:t>
        </w:r>
      </w:hyperlink>
      <w:r w:rsidRPr="0088340C">
        <w:rPr>
          <w:rFonts w:ascii="Arial" w:hAnsi="Arial" w:cs="Times New Roman"/>
          <w:color w:val="000000"/>
          <w:lang w:val="it-IT"/>
        </w:rPr>
        <w:t>, Marschak and Savage among other great teachers at Chicago. </w:t>
      </w:r>
      <w:hyperlink r:id="rId6" w:history="1">
        <w:r w:rsidRPr="0088340C">
          <w:rPr>
            <w:rFonts w:ascii="Arial" w:hAnsi="Arial" w:cs="Times New Roman"/>
            <w:color w:val="307598"/>
            <w:lang w:val="it-IT"/>
          </w:rPr>
          <w:t>Koopmans'</w:t>
        </w:r>
      </w:hyperlink>
      <w:r w:rsidRPr="0088340C">
        <w:rPr>
          <w:rFonts w:ascii="Arial" w:hAnsi="Arial" w:cs="Times New Roman"/>
          <w:color w:val="000000"/>
          <w:lang w:val="it-IT"/>
        </w:rPr>
        <w:t xml:space="preserve">course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on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 activity analysis with its definition of efficiency and its analysis of efficient sets was also a crucial part of my education.</w:t>
      </w:r>
      <w:r w:rsidRPr="0088340C">
        <w:rPr>
          <w:rFonts w:ascii="Arial" w:hAnsi="Arial" w:cs="Times New Roman"/>
          <w:color w:val="000000"/>
          <w:lang w:val="it-IT"/>
        </w:rPr>
        <w:br/>
      </w:r>
      <w:r w:rsidRPr="0088340C">
        <w:rPr>
          <w:rFonts w:ascii="Arial" w:hAnsi="Arial" w:cs="Times New Roman"/>
          <w:color w:val="000000"/>
          <w:lang w:val="it-IT"/>
        </w:rPr>
        <w:br/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At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 Chicago I was invited to become one of the student members of the Cowles Commission for Research in Economics. If anyone knows the Cowles Commission only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by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 it influence on Economic and Econometric thought, and by the number of Nobel laureates it has produced, they might imagine it to be some gigantic research center. In fact it was a small but exciting group, then under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the leadership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 of its director, T. Koopmans, and its former director, J. Marschak.</w:t>
      </w:r>
      <w:r w:rsidRPr="0088340C">
        <w:rPr>
          <w:rFonts w:ascii="Arial" w:hAnsi="Arial" w:cs="Times New Roman"/>
          <w:color w:val="000000"/>
          <w:lang w:val="it-IT"/>
        </w:rPr>
        <w:br/>
      </w:r>
      <w:r w:rsidRPr="0088340C">
        <w:rPr>
          <w:rFonts w:ascii="Arial" w:hAnsi="Arial" w:cs="Times New Roman"/>
          <w:color w:val="000000"/>
          <w:lang w:val="it-IT"/>
        </w:rPr>
        <w:br/>
        <w:t xml:space="preserve">When it was time to choose a topic for my dissertation, a chance conversation suggested the possibility of applying mathematical methods to the stock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market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.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I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 asked Professor Marschak what he thought.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He thought it reasonable, and explained that Alfred Cowles himself had been interested in such applications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. He sent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me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 to Professor Marshall Ketchum who provided a reading list as a guide to the financial theory and practice of the day.</w:t>
      </w:r>
      <w:r w:rsidRPr="0088340C">
        <w:rPr>
          <w:rFonts w:ascii="Arial" w:hAnsi="Arial" w:cs="Times New Roman"/>
          <w:color w:val="000000"/>
          <w:lang w:val="it-IT"/>
        </w:rPr>
        <w:br/>
      </w:r>
      <w:r w:rsidRPr="0088340C">
        <w:rPr>
          <w:rFonts w:ascii="Arial" w:hAnsi="Arial" w:cs="Times New Roman"/>
          <w:color w:val="000000"/>
          <w:lang w:val="it-IT"/>
        </w:rPr>
        <w:br/>
        <w:t>The basic concepts of portfolio theory came to me one afternoon in the library while reading John Burr Williams's </w:t>
      </w:r>
      <w:r w:rsidRPr="0088340C">
        <w:rPr>
          <w:rFonts w:ascii="Arial" w:hAnsi="Arial" w:cs="Times New Roman"/>
          <w:i/>
          <w:color w:val="000000"/>
          <w:lang w:val="it-IT"/>
        </w:rPr>
        <w:t xml:space="preserve">Theory </w:t>
      </w:r>
      <w:proofErr w:type="gramStart"/>
      <w:r w:rsidRPr="0088340C">
        <w:rPr>
          <w:rFonts w:ascii="Arial" w:hAnsi="Arial" w:cs="Times New Roman"/>
          <w:i/>
          <w:color w:val="000000"/>
          <w:lang w:val="it-IT"/>
        </w:rPr>
        <w:t xml:space="preserve">of </w:t>
      </w:r>
      <w:proofErr w:type="gramEnd"/>
      <w:r w:rsidRPr="0088340C">
        <w:rPr>
          <w:rFonts w:ascii="Arial" w:hAnsi="Arial" w:cs="Times New Roman"/>
          <w:i/>
          <w:color w:val="000000"/>
          <w:lang w:val="it-IT"/>
        </w:rPr>
        <w:t>Investment Value</w:t>
      </w:r>
      <w:r w:rsidRPr="0088340C">
        <w:rPr>
          <w:rFonts w:ascii="Arial" w:hAnsi="Arial" w:cs="Times New Roman"/>
          <w:color w:val="000000"/>
          <w:lang w:val="it-IT"/>
        </w:rPr>
        <w:t xml:space="preserve">.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Williams proposed that the value of a stock should equal the present value of its future dividends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.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Since future dividends are uncertain, I interpreted Williams's proposal to be to value a stock by its expected future dividends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. But if the investor were only interested in expected values of securities, he or she would only be interested in the expected value of the portfolio; and to maximize the expected value of a portfolio one need invest only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in a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 single security.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This, I knew, was not the way investors did or should act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.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Investors diversify because they are concerned with risk as well as return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. Variance came to mind as a measure of risk. The fact that portfolio variance depended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on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 security covariances added to the plausibility of the approach. Since there were two criteria, risk and return, it was natural </w:t>
      </w:r>
      <w:proofErr w:type="gramStart"/>
      <w:r w:rsidRPr="0088340C">
        <w:rPr>
          <w:rFonts w:ascii="Arial" w:hAnsi="Arial" w:cs="Times New Roman"/>
          <w:color w:val="000000"/>
          <w:lang w:val="it-IT"/>
        </w:rPr>
        <w:t>to assume</w:t>
      </w:r>
      <w:proofErr w:type="gramEnd"/>
      <w:r w:rsidRPr="0088340C">
        <w:rPr>
          <w:rFonts w:ascii="Arial" w:hAnsi="Arial" w:cs="Times New Roman"/>
          <w:color w:val="000000"/>
          <w:lang w:val="it-IT"/>
        </w:rPr>
        <w:t xml:space="preserve"> that investors selected from the set of Pareto optimal risk-return combinations.</w:t>
      </w:r>
    </w:p>
    <w:p w:rsidR="00415A51" w:rsidRDefault="0088340C"/>
    <w:sectPr w:rsidR="00415A51" w:rsidSect="00415A5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8340C"/>
    <w:rsid w:val="0088340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8F"/>
    <w:rPr>
      <w:lang w:val="en-GB"/>
    </w:rPr>
  </w:style>
  <w:style w:type="paragraph" w:styleId="Heading1">
    <w:name w:val="heading 1"/>
    <w:basedOn w:val="Normal"/>
    <w:link w:val="Heading1Char"/>
    <w:uiPriority w:val="9"/>
    <w:rsid w:val="0088340C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val="it-I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40C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88340C"/>
    <w:pPr>
      <w:spacing w:beforeLines="1" w:afterLines="1"/>
    </w:pPr>
    <w:rPr>
      <w:rFonts w:ascii="Times" w:hAnsi="Times" w:cs="Times New Roman"/>
      <w:sz w:val="20"/>
      <w:szCs w:val="20"/>
      <w:lang w:val="it-IT"/>
    </w:rPr>
  </w:style>
  <w:style w:type="character" w:customStyle="1" w:styleId="apple-converted-space">
    <w:name w:val="apple-converted-space"/>
    <w:basedOn w:val="DefaultParagraphFont"/>
    <w:rsid w:val="0088340C"/>
  </w:style>
  <w:style w:type="character" w:styleId="Hyperlink">
    <w:name w:val="Hyperlink"/>
    <w:basedOn w:val="DefaultParagraphFont"/>
    <w:uiPriority w:val="99"/>
    <w:rsid w:val="00883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nobelprize.org/nobel_prizes/economics/laureates/1976/index.html" TargetMode="External"/><Relationship Id="rId6" Type="http://schemas.openxmlformats.org/officeDocument/2006/relationships/hyperlink" Target="http://www.nobelprize.org/nobel_prizes/economics/laureates/1975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Word 12.0.0</Application>
  <DocSecurity>0</DocSecurity>
  <Lines>29</Lines>
  <Paragraphs>7</Paragraphs>
  <ScaleCrop>false</ScaleCrop>
  <Company>Leone xiii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Armanini</dc:creator>
  <cp:keywords/>
  <cp:lastModifiedBy>Tommaso Armanini</cp:lastModifiedBy>
  <cp:revision>1</cp:revision>
  <dcterms:created xsi:type="dcterms:W3CDTF">2012-11-19T16:41:00Z</dcterms:created>
  <dcterms:modified xsi:type="dcterms:W3CDTF">2012-11-19T16:41:00Z</dcterms:modified>
</cp:coreProperties>
</file>