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EE1FD" w14:textId="77777777" w:rsidR="009759C7" w:rsidRPr="005A344E" w:rsidRDefault="005A344E">
      <w:pPr>
        <w:rPr>
          <w:b/>
          <w:bCs/>
          <w:sz w:val="28"/>
          <w:szCs w:val="28"/>
          <w:lang w:val="en-GB"/>
        </w:rPr>
      </w:pPr>
      <w:r w:rsidRPr="005A344E">
        <w:rPr>
          <w:b/>
          <w:bCs/>
          <w:sz w:val="28"/>
          <w:szCs w:val="28"/>
          <w:highlight w:val="yellow"/>
          <w:lang w:val="en-GB"/>
        </w:rPr>
        <w:t>TOPICS FOR ASSIGNMENTS – PHD – THEORY OF FINANCIAL ACCOUNTING – PROF. PATRIZIA TETTAMANZI</w:t>
      </w:r>
    </w:p>
    <w:p w14:paraId="2B508758" w14:textId="77777777" w:rsidR="005A344E" w:rsidRDefault="005A344E">
      <w:pPr>
        <w:rPr>
          <w:lang w:val="en-GB"/>
        </w:rPr>
      </w:pPr>
    </w:p>
    <w:p w14:paraId="4B650C0A" w14:textId="39BA86DD" w:rsidR="005A344E" w:rsidRPr="00C80944" w:rsidRDefault="005A344E">
      <w:pPr>
        <w:rPr>
          <w:i/>
          <w:iCs/>
          <w:u w:val="single"/>
          <w:lang w:val="en-GB"/>
        </w:rPr>
      </w:pPr>
      <w:r>
        <w:rPr>
          <w:i/>
          <w:iCs/>
          <w:lang w:val="en-GB"/>
        </w:rPr>
        <w:t>Each student has to chose one topic and make a literature review (at least 10 pages) to be submitted to the Professor (</w:t>
      </w:r>
      <w:hyperlink r:id="rId5" w:history="1">
        <w:r w:rsidRPr="0083576A">
          <w:rPr>
            <w:rStyle w:val="Collegamentoipertestuale"/>
            <w:i/>
            <w:iCs/>
            <w:lang w:val="en-GB"/>
          </w:rPr>
          <w:t>ptettamanzi@liuc.it</w:t>
        </w:r>
      </w:hyperlink>
      <w:r>
        <w:rPr>
          <w:i/>
          <w:iCs/>
          <w:lang w:val="en-GB"/>
        </w:rPr>
        <w:t>) by February 16, 2020</w:t>
      </w:r>
      <w:r w:rsidRPr="00C80944">
        <w:rPr>
          <w:i/>
          <w:iCs/>
          <w:u w:val="single"/>
          <w:lang w:val="en-GB"/>
        </w:rPr>
        <w:t>.</w:t>
      </w:r>
      <w:r w:rsidR="00C80944" w:rsidRPr="00C80944">
        <w:rPr>
          <w:i/>
          <w:iCs/>
          <w:u w:val="single"/>
          <w:lang w:val="en-GB"/>
        </w:rPr>
        <w:t xml:space="preserve"> THE LITERATURE REVIEW HAS OF COURSE TO BE MADE WITH A STRUCTURED AND </w:t>
      </w:r>
      <w:proofErr w:type="gramStart"/>
      <w:r w:rsidR="00C80944" w:rsidRPr="00C80944">
        <w:rPr>
          <w:i/>
          <w:iCs/>
          <w:u w:val="single"/>
          <w:lang w:val="en-GB"/>
        </w:rPr>
        <w:t>WELL KNOWN</w:t>
      </w:r>
      <w:proofErr w:type="gramEnd"/>
      <w:r w:rsidR="00C80944" w:rsidRPr="00C80944">
        <w:rPr>
          <w:i/>
          <w:iCs/>
          <w:u w:val="single"/>
          <w:lang w:val="en-GB"/>
        </w:rPr>
        <w:t xml:space="preserve"> METHODOLOGY.</w:t>
      </w:r>
      <w:bookmarkStart w:id="0" w:name="_GoBack"/>
      <w:bookmarkEnd w:id="0"/>
    </w:p>
    <w:p w14:paraId="7E8BCA00" w14:textId="77777777" w:rsidR="005A344E" w:rsidRDefault="005A344E">
      <w:pPr>
        <w:rPr>
          <w:i/>
          <w:iCs/>
          <w:lang w:val="en-GB"/>
        </w:rPr>
      </w:pPr>
      <w:r>
        <w:rPr>
          <w:i/>
          <w:iCs/>
          <w:lang w:val="en-GB"/>
        </w:rPr>
        <w:t>EVERY STUDENT HAS TO SELECT A TOPIC THAT HAS NOT BEEN SELECTED BY ANOTHER STUDENT.</w:t>
      </w:r>
    </w:p>
    <w:p w14:paraId="53D15131" w14:textId="77777777" w:rsidR="005A344E" w:rsidRDefault="005A344E">
      <w:pPr>
        <w:rPr>
          <w:i/>
          <w:iCs/>
          <w:lang w:val="en-GB"/>
        </w:rPr>
      </w:pPr>
    </w:p>
    <w:p w14:paraId="2024B3EC" w14:textId="77777777" w:rsidR="005A344E" w:rsidRPr="005A344E" w:rsidRDefault="005A344E" w:rsidP="005A344E">
      <w:pPr>
        <w:pStyle w:val="NormaleWeb"/>
        <w:numPr>
          <w:ilvl w:val="0"/>
          <w:numId w:val="1"/>
        </w:numPr>
        <w:spacing w:before="0" w:after="0"/>
        <w:rPr>
          <w:rFonts w:ascii="&amp;quot" w:hAnsi="&amp;quot"/>
          <w:color w:val="201F1E"/>
          <w:sz w:val="23"/>
          <w:szCs w:val="23"/>
          <w:lang w:val="en-GB"/>
        </w:rPr>
      </w:pPr>
      <w:r>
        <w:rPr>
          <w:rFonts w:ascii="inherit" w:hAnsi="inherit"/>
          <w:color w:val="201F1E"/>
          <w:sz w:val="23"/>
          <w:szCs w:val="23"/>
          <w:bdr w:val="none" w:sz="0" w:space="0" w:color="auto" w:frame="1"/>
          <w:lang w:val="en-GB"/>
        </w:rPr>
        <w:t>Value relevance of accounting information (from Ohlson, 1995, Feltham, Ohlson, 1999 onwards);</w:t>
      </w:r>
    </w:p>
    <w:p w14:paraId="3B172686" w14:textId="77777777" w:rsidR="005A344E" w:rsidRPr="005A344E" w:rsidRDefault="005A344E" w:rsidP="005A344E">
      <w:pPr>
        <w:pStyle w:val="NormaleWeb"/>
        <w:numPr>
          <w:ilvl w:val="0"/>
          <w:numId w:val="1"/>
        </w:numPr>
        <w:spacing w:before="0" w:after="0"/>
        <w:rPr>
          <w:rFonts w:ascii="&amp;quot" w:hAnsi="&amp;quot"/>
          <w:color w:val="201F1E"/>
          <w:sz w:val="23"/>
          <w:szCs w:val="23"/>
          <w:lang w:val="en-GB"/>
        </w:rPr>
      </w:pPr>
      <w:r>
        <w:rPr>
          <w:rFonts w:ascii="inherit" w:hAnsi="inherit"/>
          <w:color w:val="201F1E"/>
          <w:sz w:val="23"/>
          <w:szCs w:val="23"/>
          <w:bdr w:val="none" w:sz="0" w:space="0" w:color="auto" w:frame="1"/>
          <w:lang w:val="en-GB"/>
        </w:rPr>
        <w:t>Value relevance of non-accounting / non-financial information (example Hand, 2005)</w:t>
      </w:r>
    </w:p>
    <w:p w14:paraId="022DA898" w14:textId="77777777" w:rsidR="005A344E" w:rsidRPr="005A344E" w:rsidRDefault="005A344E" w:rsidP="005A344E">
      <w:pPr>
        <w:pStyle w:val="NormaleWeb"/>
        <w:numPr>
          <w:ilvl w:val="0"/>
          <w:numId w:val="1"/>
        </w:numPr>
        <w:spacing w:before="0" w:after="0"/>
        <w:rPr>
          <w:rFonts w:ascii="&amp;quot" w:hAnsi="&amp;quot"/>
          <w:color w:val="201F1E"/>
          <w:sz w:val="23"/>
          <w:szCs w:val="23"/>
          <w:lang w:val="en-GB"/>
        </w:rPr>
      </w:pPr>
      <w:r>
        <w:rPr>
          <w:rFonts w:ascii="inherit" w:hAnsi="inherit"/>
          <w:color w:val="201F1E"/>
          <w:shd w:val="clear" w:color="auto" w:fill="FFFFFF"/>
          <w:lang w:val="en-GB"/>
        </w:rPr>
        <w:t>D</w:t>
      </w:r>
      <w:r w:rsidRPr="005A344E">
        <w:rPr>
          <w:rFonts w:ascii="inherit" w:hAnsi="inherit"/>
          <w:color w:val="201F1E"/>
          <w:shd w:val="clear" w:color="auto" w:fill="FFFFFF"/>
          <w:lang w:val="en-GB"/>
        </w:rPr>
        <w:t>isclosure quality of integrated reporting and/or sustainability reporting.</w:t>
      </w:r>
    </w:p>
    <w:p w14:paraId="2CA96E64" w14:textId="77777777" w:rsidR="005A344E" w:rsidRPr="005A344E" w:rsidRDefault="005A344E" w:rsidP="005A344E">
      <w:pPr>
        <w:pStyle w:val="NormaleWeb"/>
        <w:numPr>
          <w:ilvl w:val="0"/>
          <w:numId w:val="1"/>
        </w:numPr>
        <w:spacing w:before="0" w:after="0"/>
        <w:rPr>
          <w:rFonts w:ascii="&amp;quot" w:hAnsi="&amp;quot"/>
          <w:color w:val="201F1E"/>
          <w:sz w:val="23"/>
          <w:szCs w:val="23"/>
          <w:lang w:val="en-GB"/>
        </w:rPr>
      </w:pPr>
      <w:r>
        <w:rPr>
          <w:rFonts w:ascii="inherit" w:hAnsi="inherit"/>
          <w:color w:val="201F1E"/>
          <w:sz w:val="23"/>
          <w:szCs w:val="23"/>
          <w:bdr w:val="none" w:sz="0" w:space="0" w:color="auto" w:frame="1"/>
          <w:lang w:val="en-GB"/>
        </w:rPr>
        <w:t xml:space="preserve">Disclosure quality of mandatory and/or voluntary information in financial statements (from </w:t>
      </w:r>
      <w:proofErr w:type="spellStart"/>
      <w:r>
        <w:rPr>
          <w:rFonts w:ascii="inherit" w:hAnsi="inherit"/>
          <w:color w:val="201F1E"/>
          <w:sz w:val="23"/>
          <w:szCs w:val="23"/>
          <w:bdr w:val="none" w:sz="0" w:space="0" w:color="auto" w:frame="1"/>
          <w:lang w:val="en-GB"/>
        </w:rPr>
        <w:t>Botosan</w:t>
      </w:r>
      <w:proofErr w:type="spellEnd"/>
      <w:r>
        <w:rPr>
          <w:rFonts w:ascii="inherit" w:hAnsi="inherit"/>
          <w:color w:val="201F1E"/>
          <w:sz w:val="23"/>
          <w:szCs w:val="23"/>
          <w:bdr w:val="none" w:sz="0" w:space="0" w:color="auto" w:frame="1"/>
          <w:lang w:val="en-GB"/>
        </w:rPr>
        <w:t xml:space="preserve"> 1997, onwards)</w:t>
      </w:r>
    </w:p>
    <w:p w14:paraId="7AFCBB62" w14:textId="77777777" w:rsidR="005A344E" w:rsidRDefault="005A344E" w:rsidP="005A344E">
      <w:pPr>
        <w:pStyle w:val="NormaleWeb"/>
        <w:numPr>
          <w:ilvl w:val="0"/>
          <w:numId w:val="1"/>
        </w:numPr>
        <w:spacing w:before="0" w:after="0"/>
        <w:rPr>
          <w:rFonts w:ascii="inherit" w:hAnsi="inherit"/>
          <w:color w:val="201F1E"/>
          <w:sz w:val="23"/>
          <w:szCs w:val="23"/>
          <w:bdr w:val="none" w:sz="0" w:space="0" w:color="auto" w:frame="1"/>
          <w:lang w:val="en-GB"/>
        </w:rPr>
      </w:pPr>
      <w:r w:rsidRPr="005A344E">
        <w:rPr>
          <w:rFonts w:ascii="inherit" w:hAnsi="inherit"/>
          <w:color w:val="201F1E"/>
          <w:sz w:val="23"/>
          <w:szCs w:val="23"/>
          <w:bdr w:val="none" w:sz="0" w:space="0" w:color="auto" w:frame="1"/>
          <w:lang w:val="en-GB"/>
        </w:rPr>
        <w:t xml:space="preserve">The impact of Hofstede national cultural system on Integrated Reporting. Main reference: </w:t>
      </w:r>
      <w:hyperlink r:id="rId6" w:history="1">
        <w:r w:rsidRPr="0083576A">
          <w:rPr>
            <w:rStyle w:val="Collegamentoipertestuale"/>
            <w:rFonts w:ascii="inherit" w:hAnsi="inherit"/>
            <w:sz w:val="23"/>
            <w:szCs w:val="23"/>
            <w:bdr w:val="none" w:sz="0" w:space="0" w:color="auto" w:frame="1"/>
            <w:lang w:val="en-GB"/>
          </w:rPr>
          <w:t>h</w:t>
        </w:r>
        <w:r w:rsidRPr="005A344E">
          <w:rPr>
            <w:rStyle w:val="Collegamentoipertestuale"/>
            <w:rFonts w:ascii="inherit" w:hAnsi="inherit"/>
            <w:sz w:val="23"/>
            <w:szCs w:val="23"/>
            <w:bdr w:val="none" w:sz="0" w:space="0" w:color="auto" w:frame="1"/>
            <w:lang w:val="en-GB"/>
          </w:rPr>
          <w:t>ttps://www.sciencedirect.com/science/article/abs/pii/S0969593113000085</w:t>
        </w:r>
      </w:hyperlink>
    </w:p>
    <w:p w14:paraId="4CAD9344" w14:textId="77777777" w:rsidR="005A344E" w:rsidRPr="005A344E" w:rsidRDefault="005A344E" w:rsidP="005A344E">
      <w:pPr>
        <w:pStyle w:val="NormaleWeb"/>
        <w:numPr>
          <w:ilvl w:val="0"/>
          <w:numId w:val="1"/>
        </w:numPr>
        <w:spacing w:before="0" w:after="0"/>
        <w:ind w:left="708" w:hanging="282"/>
        <w:rPr>
          <w:rFonts w:ascii="inherit" w:hAnsi="inherit"/>
          <w:color w:val="201F1E"/>
          <w:sz w:val="23"/>
          <w:szCs w:val="23"/>
          <w:bdr w:val="none" w:sz="0" w:space="0" w:color="auto" w:frame="1"/>
          <w:lang w:val="en-GB"/>
        </w:rPr>
      </w:pPr>
      <w:r w:rsidRPr="005A344E">
        <w:rPr>
          <w:rFonts w:ascii="inherit" w:hAnsi="inherit"/>
          <w:color w:val="201F1E"/>
          <w:sz w:val="23"/>
          <w:szCs w:val="23"/>
          <w:bdr w:val="none" w:sz="0" w:space="0" w:color="auto" w:frame="1"/>
          <w:lang w:val="en-GB"/>
        </w:rPr>
        <w:t xml:space="preserve">The Role of the Board in the Dissemination of Integrated Corporate Social Reporting and Integrated Reporting. Main reference: </w:t>
      </w:r>
      <w:r>
        <w:rPr>
          <w:rFonts w:ascii="inherit" w:hAnsi="inherit"/>
          <w:color w:val="201F1E"/>
          <w:sz w:val="23"/>
          <w:szCs w:val="23"/>
          <w:bdr w:val="none" w:sz="0" w:space="0" w:color="auto" w:frame="1"/>
          <w:lang w:val="en-GB"/>
        </w:rPr>
        <w:t>h</w:t>
      </w:r>
      <w:r w:rsidRPr="005A344E">
        <w:rPr>
          <w:rFonts w:ascii="inherit" w:hAnsi="inherit"/>
          <w:color w:val="201F1E"/>
          <w:sz w:val="23"/>
          <w:szCs w:val="23"/>
          <w:bdr w:val="none" w:sz="0" w:space="0" w:color="auto" w:frame="1"/>
          <w:lang w:val="en-GB"/>
        </w:rPr>
        <w:t>ttps://onlinelibrary.wiley.com/doi/abs/10.1002/csr.1294</w:t>
      </w:r>
    </w:p>
    <w:p w14:paraId="39F76A80" w14:textId="77777777" w:rsidR="005A344E" w:rsidRPr="005A344E" w:rsidRDefault="005A344E" w:rsidP="00EC0B46">
      <w:pPr>
        <w:pStyle w:val="Paragrafoelenco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201F1E"/>
          <w:lang w:eastAsia="it-IT"/>
        </w:rPr>
      </w:pPr>
      <w:r w:rsidRPr="005A344E">
        <w:rPr>
          <w:rFonts w:ascii="inherit" w:eastAsia="Times New Roman" w:hAnsi="inherit" w:cs="Calibri"/>
          <w:color w:val="201F1E"/>
          <w:bdr w:val="none" w:sz="0" w:space="0" w:color="auto" w:frame="1"/>
          <w:lang w:val="en-US" w:eastAsia="it-IT"/>
        </w:rPr>
        <w:t xml:space="preserve">“Prior literature provided evidence of the possible threats caused by both financial and non-financial incentives to the auditor objectivity. </w:t>
      </w:r>
      <w:r w:rsidRPr="005A344E">
        <w:rPr>
          <w:rFonts w:ascii="inherit" w:eastAsia="Times New Roman" w:hAnsi="inherit" w:cs="Calibri"/>
          <w:color w:val="201F1E"/>
          <w:bdr w:val="none" w:sz="0" w:space="0" w:color="auto" w:frame="1"/>
          <w:lang w:val="en-GB" w:eastAsia="it-IT"/>
        </w:rPr>
        <w:t xml:space="preserve">On one side, auditors need to maintain emotional distance from auditees while, on the other side, they need to seek cooperation. </w:t>
      </w:r>
      <w:r w:rsidRPr="005A344E">
        <w:rPr>
          <w:rFonts w:ascii="inherit" w:eastAsia="Times New Roman" w:hAnsi="inherit" w:cs="Calibri"/>
          <w:color w:val="201F1E"/>
          <w:bdr w:val="none" w:sz="0" w:space="0" w:color="auto" w:frame="1"/>
          <w:lang w:val="en-US" w:eastAsia="it-IT"/>
        </w:rPr>
        <w:t xml:space="preserve">The relevance of the auditor-auditee interaction depends on the fact that it may reinforce audit quality or, conversely, it may have an adverse impact on it”. Main references: Sweeny, B., and Pierce, B. (2004). Management control in audit firms: A qualitative investigation. </w:t>
      </w:r>
      <w:r w:rsidRPr="005A344E">
        <w:rPr>
          <w:rFonts w:ascii="inherit" w:eastAsia="Times New Roman" w:hAnsi="inherit" w:cs="Calibri"/>
          <w:i/>
          <w:iCs/>
          <w:color w:val="201F1E"/>
          <w:bdr w:val="none" w:sz="0" w:space="0" w:color="auto" w:frame="1"/>
          <w:lang w:val="en-US" w:eastAsia="it-IT"/>
        </w:rPr>
        <w:t>Accounting, Auditing &amp; Accountability Journal</w:t>
      </w:r>
      <w:r w:rsidRPr="005A344E">
        <w:rPr>
          <w:rFonts w:ascii="inherit" w:eastAsia="Times New Roman" w:hAnsi="inherit" w:cs="Calibri"/>
          <w:color w:val="201F1E"/>
          <w:bdr w:val="none" w:sz="0" w:space="0" w:color="auto" w:frame="1"/>
          <w:lang w:val="en-US" w:eastAsia="it-IT"/>
        </w:rPr>
        <w:t xml:space="preserve">, 17, 779-812.   Sweeny, B., and Pierce, B. (2011). Audit team defense mechanisms: auditee influence. </w:t>
      </w:r>
      <w:r w:rsidRPr="005A344E">
        <w:rPr>
          <w:rFonts w:ascii="inherit" w:eastAsia="Times New Roman" w:hAnsi="inherit" w:cs="Calibri"/>
          <w:i/>
          <w:iCs/>
          <w:color w:val="201F1E"/>
          <w:bdr w:val="none" w:sz="0" w:space="0" w:color="auto" w:frame="1"/>
          <w:lang w:val="en-US" w:eastAsia="it-IT"/>
        </w:rPr>
        <w:t>Accounting and Business Research</w:t>
      </w:r>
      <w:r w:rsidRPr="005A344E">
        <w:rPr>
          <w:rFonts w:ascii="inherit" w:eastAsia="Times New Roman" w:hAnsi="inherit" w:cs="Calibri"/>
          <w:color w:val="201F1E"/>
          <w:bdr w:val="none" w:sz="0" w:space="0" w:color="auto" w:frame="1"/>
          <w:lang w:val="en-US" w:eastAsia="it-IT"/>
        </w:rPr>
        <w:t xml:space="preserve">, 41(4), 333-356.  </w:t>
      </w:r>
    </w:p>
    <w:p w14:paraId="63BD7F53" w14:textId="77777777" w:rsidR="005A344E" w:rsidRPr="005A344E" w:rsidRDefault="005A344E" w:rsidP="005A344E">
      <w:pPr>
        <w:pStyle w:val="NormaleWeb"/>
        <w:spacing w:before="0" w:after="0"/>
        <w:ind w:left="360"/>
        <w:rPr>
          <w:rFonts w:ascii="&amp;quot" w:hAnsi="&amp;quot"/>
          <w:color w:val="201F1E"/>
          <w:sz w:val="23"/>
          <w:szCs w:val="23"/>
          <w:lang w:val="en-GB"/>
        </w:rPr>
      </w:pPr>
    </w:p>
    <w:p w14:paraId="77CA7049" w14:textId="77777777" w:rsidR="005A344E" w:rsidRDefault="005A344E">
      <w:pPr>
        <w:rPr>
          <w:i/>
          <w:iCs/>
          <w:lang w:val="en-GB"/>
        </w:rPr>
      </w:pPr>
    </w:p>
    <w:p w14:paraId="2C429842" w14:textId="77777777" w:rsidR="005A344E" w:rsidRPr="005A344E" w:rsidRDefault="005A344E">
      <w:pPr>
        <w:rPr>
          <w:i/>
          <w:iCs/>
          <w:lang w:val="en-GB"/>
        </w:rPr>
      </w:pPr>
    </w:p>
    <w:sectPr w:rsidR="005A344E" w:rsidRPr="005A34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8420A"/>
    <w:multiLevelType w:val="hybridMultilevel"/>
    <w:tmpl w:val="7F44DF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12247"/>
    <w:multiLevelType w:val="multilevel"/>
    <w:tmpl w:val="73807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0830D1"/>
    <w:multiLevelType w:val="multilevel"/>
    <w:tmpl w:val="E6E8D5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44E"/>
    <w:rsid w:val="005A344E"/>
    <w:rsid w:val="00745E2A"/>
    <w:rsid w:val="00A26A30"/>
    <w:rsid w:val="00C8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5553A"/>
  <w15:chartTrackingRefBased/>
  <w15:docId w15:val="{47417CAF-425D-4F1C-BC31-D6E130FE4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A344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A344E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5A3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A3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7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iencedirect.com/science/article/abs/pii/S0969593113000085" TargetMode="External"/><Relationship Id="rId5" Type="http://schemas.openxmlformats.org/officeDocument/2006/relationships/hyperlink" Target="mailto:ptettamanzi@liu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annasofia vergani</dc:creator>
  <cp:keywords/>
  <dc:description/>
  <cp:lastModifiedBy>annasofia vergani</cp:lastModifiedBy>
  <cp:revision>3</cp:revision>
  <dcterms:created xsi:type="dcterms:W3CDTF">2019-12-15T14:00:00Z</dcterms:created>
  <dcterms:modified xsi:type="dcterms:W3CDTF">2019-12-15T14:09:00Z</dcterms:modified>
</cp:coreProperties>
</file>