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E2B" w:rsidRDefault="00EE6E2B" w:rsidP="00EE6E2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15057">
        <w:rPr>
          <w:rFonts w:ascii="Times New Roman" w:hAnsi="Times New Roman" w:cs="Times New Roman"/>
          <w:b/>
          <w:sz w:val="32"/>
          <w:szCs w:val="32"/>
          <w:lang w:val="en-US"/>
        </w:rPr>
        <w:t>Decision-making: methods and tools</w:t>
      </w:r>
    </w:p>
    <w:p w:rsidR="00EE6E2B" w:rsidRDefault="00EE6E2B" w:rsidP="00EE6E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</w:p>
    <w:p w:rsidR="00EE6E2B" w:rsidRDefault="00EE6E2B" w:rsidP="00EE6E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6E2B" w:rsidRDefault="00EE6E2B" w:rsidP="00EE6E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E2B">
        <w:rPr>
          <w:rFonts w:ascii="Times New Roman" w:hAnsi="Times New Roman" w:cs="Times New Roman"/>
          <w:sz w:val="24"/>
          <w:szCs w:val="24"/>
          <w:lang w:val="en-US"/>
        </w:rPr>
        <w:t xml:space="preserve">The 2014 Balance Sheet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Ercole</w:t>
      </w:r>
      <w:proofErr w:type="spellEnd"/>
      <w:r w:rsidRPr="00EE6E2B">
        <w:rPr>
          <w:rFonts w:ascii="Times New Roman" w:hAnsi="Times New Roman" w:cs="Times New Roman"/>
          <w:sz w:val="24"/>
          <w:szCs w:val="24"/>
          <w:lang w:val="en-US"/>
        </w:rPr>
        <w:t xml:space="preserve"> Company is reported in the following table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2"/>
        <w:gridCol w:w="833"/>
        <w:gridCol w:w="3540"/>
        <w:gridCol w:w="833"/>
      </w:tblGrid>
      <w:tr w:rsidR="00EE6E2B" w:rsidRPr="00015057" w:rsidTr="00E02E10">
        <w:tc>
          <w:tcPr>
            <w:tcW w:w="3932" w:type="dxa"/>
            <w:shd w:val="clear" w:color="auto" w:fill="D9D9D9" w:themeFill="background1" w:themeFillShade="D9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5057">
              <w:rPr>
                <w:rFonts w:ascii="Times New Roman" w:hAnsi="Times New Roman" w:cs="Times New Roman"/>
                <w:b/>
              </w:rPr>
              <w:t xml:space="preserve">Non </w:t>
            </w:r>
            <w:proofErr w:type="spellStart"/>
            <w:r w:rsidRPr="00015057">
              <w:rPr>
                <w:rFonts w:ascii="Times New Roman" w:hAnsi="Times New Roman" w:cs="Times New Roman"/>
                <w:b/>
              </w:rPr>
              <w:t>current</w:t>
            </w:r>
            <w:proofErr w:type="spellEnd"/>
            <w:r w:rsidRPr="00015057">
              <w:rPr>
                <w:rFonts w:ascii="Times New Roman" w:hAnsi="Times New Roman" w:cs="Times New Roman"/>
                <w:b/>
              </w:rPr>
              <w:t xml:space="preserve"> assets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31.400</w:t>
            </w:r>
          </w:p>
        </w:tc>
        <w:tc>
          <w:tcPr>
            <w:tcW w:w="3540" w:type="dxa"/>
            <w:shd w:val="clear" w:color="auto" w:fill="D9D9D9" w:themeFill="background1" w:themeFillShade="D9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5057">
              <w:rPr>
                <w:rFonts w:ascii="Times New Roman" w:hAnsi="Times New Roman" w:cs="Times New Roman"/>
                <w:b/>
              </w:rPr>
              <w:t>Equity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50.250</w:t>
            </w:r>
          </w:p>
        </w:tc>
      </w:tr>
      <w:tr w:rsidR="00EE6E2B" w:rsidRPr="00015057" w:rsidTr="00E02E10">
        <w:tc>
          <w:tcPr>
            <w:tcW w:w="3932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Property, Plant and Equipment</w:t>
            </w:r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18.000</w:t>
            </w:r>
          </w:p>
        </w:tc>
        <w:tc>
          <w:tcPr>
            <w:tcW w:w="3540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Issued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capital</w:t>
            </w:r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</w:tr>
      <w:tr w:rsidR="00EE6E2B" w:rsidRPr="00015057" w:rsidTr="00E02E10">
        <w:tc>
          <w:tcPr>
            <w:tcW w:w="3932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 xml:space="preserve">Investment </w:t>
            </w:r>
            <w:proofErr w:type="spellStart"/>
            <w:r w:rsidRPr="00015057">
              <w:rPr>
                <w:rFonts w:ascii="Times New Roman" w:hAnsi="Times New Roman" w:cs="Times New Roman"/>
              </w:rPr>
              <w:t>property</w:t>
            </w:r>
            <w:proofErr w:type="spellEnd"/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0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Share premium accounts</w:t>
            </w:r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6E2B" w:rsidRPr="00015057" w:rsidTr="00E02E10">
        <w:tc>
          <w:tcPr>
            <w:tcW w:w="3932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15057">
              <w:rPr>
                <w:rFonts w:ascii="Times New Roman" w:hAnsi="Times New Roman" w:cs="Times New Roman"/>
                <w:lang w:val="en-US"/>
              </w:rPr>
              <w:t xml:space="preserve">Intangible assets with indefinite useful life  </w:t>
            </w:r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1.000</w:t>
            </w:r>
          </w:p>
        </w:tc>
        <w:tc>
          <w:tcPr>
            <w:tcW w:w="3540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Revaluation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Reserve</w:t>
            </w:r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E6E2B" w:rsidRPr="00015057" w:rsidTr="00E02E10">
        <w:tc>
          <w:tcPr>
            <w:tcW w:w="3932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15057">
              <w:rPr>
                <w:rFonts w:ascii="Times New Roman" w:hAnsi="Times New Roman" w:cs="Times New Roman"/>
                <w:lang w:val="en-US"/>
              </w:rPr>
              <w:t xml:space="preserve">Intangible assets with definite useful life  </w:t>
            </w:r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4.400</w:t>
            </w:r>
          </w:p>
        </w:tc>
        <w:tc>
          <w:tcPr>
            <w:tcW w:w="3540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15057">
              <w:rPr>
                <w:rFonts w:ascii="Times New Roman" w:hAnsi="Times New Roman" w:cs="Times New Roman"/>
                <w:lang w:val="en-US"/>
              </w:rPr>
              <w:t>Other reserves</w:t>
            </w:r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4.000</w:t>
            </w:r>
          </w:p>
        </w:tc>
      </w:tr>
      <w:tr w:rsidR="00EE6E2B" w:rsidRPr="00015057" w:rsidTr="00E02E10">
        <w:tc>
          <w:tcPr>
            <w:tcW w:w="3932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>Holdings</w:t>
            </w:r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8.000</w:t>
            </w:r>
          </w:p>
        </w:tc>
        <w:tc>
          <w:tcPr>
            <w:tcW w:w="3540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Retained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057">
              <w:rPr>
                <w:rFonts w:ascii="Times New Roman" w:hAnsi="Times New Roman" w:cs="Times New Roman"/>
              </w:rPr>
              <w:t>earnings</w:t>
            </w:r>
            <w:proofErr w:type="spellEnd"/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</w:t>
            </w:r>
          </w:p>
        </w:tc>
      </w:tr>
      <w:tr w:rsidR="00EE6E2B" w:rsidRPr="00015057" w:rsidTr="00E02E10">
        <w:tc>
          <w:tcPr>
            <w:tcW w:w="3932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Other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Financial activities</w:t>
            </w:r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540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 xml:space="preserve">Net </w:t>
            </w:r>
            <w:proofErr w:type="spellStart"/>
            <w:r w:rsidRPr="00015057">
              <w:rPr>
                <w:rFonts w:ascii="Times New Roman" w:hAnsi="Times New Roman" w:cs="Times New Roman"/>
              </w:rPr>
              <w:t>Income</w:t>
            </w:r>
            <w:proofErr w:type="spellEnd"/>
            <w:r w:rsidRPr="00015057">
              <w:rPr>
                <w:rFonts w:ascii="Times New Roman" w:hAnsi="Times New Roman" w:cs="Times New Roman"/>
              </w:rPr>
              <w:t>/</w:t>
            </w:r>
            <w:proofErr w:type="spellStart"/>
            <w:r w:rsidRPr="00015057">
              <w:rPr>
                <w:rFonts w:ascii="Times New Roman" w:hAnsi="Times New Roman" w:cs="Times New Roman"/>
              </w:rPr>
              <w:t>Loss</w:t>
            </w:r>
            <w:proofErr w:type="spellEnd"/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</w:t>
            </w:r>
          </w:p>
        </w:tc>
      </w:tr>
      <w:tr w:rsidR="00EE6E2B" w:rsidRPr="00015057" w:rsidTr="00E02E10">
        <w:tc>
          <w:tcPr>
            <w:tcW w:w="3932" w:type="dxa"/>
            <w:shd w:val="clear" w:color="auto" w:fill="D9D9D9" w:themeFill="background1" w:themeFillShade="D9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15057">
              <w:rPr>
                <w:rFonts w:ascii="Times New Roman" w:hAnsi="Times New Roman" w:cs="Times New Roman"/>
                <w:b/>
              </w:rPr>
              <w:t>Current</w:t>
            </w:r>
            <w:proofErr w:type="spellEnd"/>
            <w:r w:rsidRPr="00015057">
              <w:rPr>
                <w:rFonts w:ascii="Times New Roman" w:hAnsi="Times New Roman" w:cs="Times New Roman"/>
                <w:b/>
              </w:rPr>
              <w:t xml:space="preserve"> assets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52.100</w:t>
            </w:r>
          </w:p>
        </w:tc>
        <w:tc>
          <w:tcPr>
            <w:tcW w:w="3540" w:type="dxa"/>
            <w:shd w:val="clear" w:color="auto" w:fill="D9D9D9" w:themeFill="background1" w:themeFillShade="D9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5057">
              <w:rPr>
                <w:rFonts w:ascii="Times New Roman" w:hAnsi="Times New Roman" w:cs="Times New Roman"/>
                <w:b/>
              </w:rPr>
              <w:t xml:space="preserve">Non </w:t>
            </w:r>
            <w:proofErr w:type="spellStart"/>
            <w:r w:rsidRPr="00015057">
              <w:rPr>
                <w:rFonts w:ascii="Times New Roman" w:hAnsi="Times New Roman" w:cs="Times New Roman"/>
                <w:b/>
              </w:rPr>
              <w:t>current</w:t>
            </w:r>
            <w:proofErr w:type="spellEnd"/>
            <w:r w:rsidRPr="00015057">
              <w:rPr>
                <w:rFonts w:ascii="Times New Roman" w:hAnsi="Times New Roman" w:cs="Times New Roman"/>
                <w:b/>
              </w:rPr>
              <w:t xml:space="preserve"> liabilities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15.750</w:t>
            </w:r>
          </w:p>
        </w:tc>
      </w:tr>
      <w:tr w:rsidR="00EE6E2B" w:rsidRPr="00015057" w:rsidTr="00E02E10">
        <w:tc>
          <w:tcPr>
            <w:tcW w:w="3932" w:type="dxa"/>
            <w:vMerge w:val="restart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Receivables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15057">
              <w:rPr>
                <w:rFonts w:ascii="Times New Roman" w:hAnsi="Times New Roman" w:cs="Times New Roman"/>
              </w:rPr>
              <w:t>others</w:t>
            </w:r>
            <w:proofErr w:type="spellEnd"/>
          </w:p>
        </w:tc>
        <w:tc>
          <w:tcPr>
            <w:tcW w:w="833" w:type="dxa"/>
            <w:vMerge w:val="restart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10.400</w:t>
            </w:r>
          </w:p>
        </w:tc>
        <w:tc>
          <w:tcPr>
            <w:tcW w:w="3540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Debt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015057">
              <w:rPr>
                <w:rFonts w:ascii="Times New Roman" w:hAnsi="Times New Roman" w:cs="Times New Roman"/>
              </w:rPr>
              <w:t>issue</w:t>
            </w:r>
            <w:proofErr w:type="spellEnd"/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EE6E2B" w:rsidRPr="00015057" w:rsidTr="00E02E10">
        <w:tc>
          <w:tcPr>
            <w:tcW w:w="3932" w:type="dxa"/>
            <w:vMerge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Debt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to bank</w:t>
            </w:r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8.000</w:t>
            </w:r>
          </w:p>
        </w:tc>
      </w:tr>
      <w:tr w:rsidR="00EE6E2B" w:rsidRPr="00015057" w:rsidTr="00E02E10">
        <w:tc>
          <w:tcPr>
            <w:tcW w:w="3932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Inventories</w:t>
            </w:r>
            <w:proofErr w:type="spellEnd"/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6.200</w:t>
            </w:r>
          </w:p>
        </w:tc>
        <w:tc>
          <w:tcPr>
            <w:tcW w:w="3540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15057">
              <w:rPr>
                <w:rFonts w:ascii="Times New Roman" w:hAnsi="Times New Roman" w:cs="Times New Roman"/>
                <w:lang w:val="en-US"/>
              </w:rPr>
              <w:t>Other non</w:t>
            </w:r>
            <w:r w:rsidR="00E42BB1">
              <w:rPr>
                <w:rFonts w:ascii="Times New Roman" w:hAnsi="Times New Roman" w:cs="Times New Roman"/>
                <w:lang w:val="en-US"/>
              </w:rPr>
              <w:t>-</w:t>
            </w:r>
            <w:r w:rsidRPr="00015057">
              <w:rPr>
                <w:rFonts w:ascii="Times New Roman" w:hAnsi="Times New Roman" w:cs="Times New Roman"/>
                <w:lang w:val="en-US"/>
              </w:rPr>
              <w:t>current financial liabilities</w:t>
            </w:r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--</w:t>
            </w:r>
          </w:p>
        </w:tc>
      </w:tr>
      <w:tr w:rsidR="00EE6E2B" w:rsidRPr="00015057" w:rsidTr="00E02E10">
        <w:tc>
          <w:tcPr>
            <w:tcW w:w="3932" w:type="dxa"/>
            <w:vMerge w:val="restart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15057">
              <w:rPr>
                <w:rFonts w:ascii="Times New Roman" w:hAnsi="Times New Roman" w:cs="Times New Roman"/>
                <w:lang w:val="en-US"/>
              </w:rPr>
              <w:t>Work in progress on ordination</w:t>
            </w:r>
          </w:p>
        </w:tc>
        <w:tc>
          <w:tcPr>
            <w:tcW w:w="833" w:type="dxa"/>
            <w:vMerge w:val="restart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3540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 xml:space="preserve">Risk and </w:t>
            </w:r>
            <w:proofErr w:type="spellStart"/>
            <w:r w:rsidRPr="00015057">
              <w:rPr>
                <w:rFonts w:ascii="Times New Roman" w:hAnsi="Times New Roman" w:cs="Times New Roman"/>
              </w:rPr>
              <w:t>charges</w:t>
            </w:r>
            <w:proofErr w:type="spellEnd"/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3.750</w:t>
            </w:r>
          </w:p>
        </w:tc>
      </w:tr>
      <w:tr w:rsidR="00EE6E2B" w:rsidRPr="00015057" w:rsidTr="00E02E10">
        <w:tc>
          <w:tcPr>
            <w:tcW w:w="3932" w:type="dxa"/>
            <w:vMerge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3" w:type="dxa"/>
            <w:vMerge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0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 xml:space="preserve">Funds to </w:t>
            </w:r>
            <w:proofErr w:type="spellStart"/>
            <w:r w:rsidRPr="00015057">
              <w:rPr>
                <w:rFonts w:ascii="Times New Roman" w:hAnsi="Times New Roman" w:cs="Times New Roman"/>
              </w:rPr>
              <w:t>personnel</w:t>
            </w:r>
            <w:proofErr w:type="spellEnd"/>
          </w:p>
        </w:tc>
        <w:tc>
          <w:tcPr>
            <w:tcW w:w="833" w:type="dxa"/>
            <w:vAlign w:val="center"/>
          </w:tcPr>
          <w:p w:rsidR="00EE6E2B" w:rsidRPr="00015057" w:rsidRDefault="002670EA" w:rsidP="00E02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EE6E2B" w:rsidRPr="00015057" w:rsidTr="00E02E10">
        <w:tc>
          <w:tcPr>
            <w:tcW w:w="3932" w:type="dxa"/>
            <w:vMerge w:val="restart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Current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057">
              <w:rPr>
                <w:rFonts w:ascii="Times New Roman" w:hAnsi="Times New Roman" w:cs="Times New Roman"/>
              </w:rPr>
              <w:t>financial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activities</w:t>
            </w:r>
          </w:p>
        </w:tc>
        <w:tc>
          <w:tcPr>
            <w:tcW w:w="833" w:type="dxa"/>
            <w:vMerge w:val="restart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3540" w:type="dxa"/>
            <w:shd w:val="clear" w:color="auto" w:fill="D9D9D9" w:themeFill="background1" w:themeFillShade="D9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15057">
              <w:rPr>
                <w:rFonts w:ascii="Times New Roman" w:hAnsi="Times New Roman" w:cs="Times New Roman"/>
                <w:b/>
              </w:rPr>
              <w:t>Current</w:t>
            </w:r>
            <w:proofErr w:type="spellEnd"/>
            <w:r w:rsidRPr="00015057">
              <w:rPr>
                <w:rFonts w:ascii="Times New Roman" w:hAnsi="Times New Roman" w:cs="Times New Roman"/>
                <w:b/>
              </w:rPr>
              <w:t xml:space="preserve"> Liabilities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17.500</w:t>
            </w:r>
          </w:p>
        </w:tc>
      </w:tr>
      <w:tr w:rsidR="00EE6E2B" w:rsidRPr="00015057" w:rsidTr="00E02E10">
        <w:tc>
          <w:tcPr>
            <w:tcW w:w="3932" w:type="dxa"/>
            <w:vMerge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Debt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015057">
              <w:rPr>
                <w:rFonts w:ascii="Times New Roman" w:hAnsi="Times New Roman" w:cs="Times New Roman"/>
              </w:rPr>
              <w:t>issue</w:t>
            </w:r>
            <w:proofErr w:type="spellEnd"/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EE6E2B" w:rsidRPr="00015057" w:rsidTr="00E02E10">
        <w:tc>
          <w:tcPr>
            <w:tcW w:w="3932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 xml:space="preserve">Cash and cash </w:t>
            </w:r>
            <w:proofErr w:type="spellStart"/>
            <w:r w:rsidRPr="00015057">
              <w:rPr>
                <w:rFonts w:ascii="Times New Roman" w:hAnsi="Times New Roman" w:cs="Times New Roman"/>
              </w:rPr>
              <w:t>equivalent</w:t>
            </w:r>
            <w:proofErr w:type="spellEnd"/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34.000</w:t>
            </w:r>
          </w:p>
        </w:tc>
        <w:tc>
          <w:tcPr>
            <w:tcW w:w="3540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Debt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to bank</w:t>
            </w:r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</w:tr>
      <w:tr w:rsidR="00EE6E2B" w:rsidRPr="00015057" w:rsidTr="00E02E10">
        <w:tc>
          <w:tcPr>
            <w:tcW w:w="3932" w:type="dxa"/>
            <w:shd w:val="clear" w:color="auto" w:fill="D9D9D9" w:themeFill="background1" w:themeFillShade="D9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15057">
              <w:rPr>
                <w:rFonts w:ascii="Times New Roman" w:hAnsi="Times New Roman" w:cs="Times New Roman"/>
                <w:b/>
              </w:rPr>
              <w:t>Discontinued</w:t>
            </w:r>
            <w:proofErr w:type="spellEnd"/>
            <w:r w:rsidRPr="0001505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5057">
              <w:rPr>
                <w:rFonts w:ascii="Times New Roman" w:hAnsi="Times New Roman" w:cs="Times New Roman"/>
                <w:b/>
              </w:rPr>
              <w:t>operations</w:t>
            </w:r>
            <w:proofErr w:type="spellEnd"/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3540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Debt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to suppliers</w:t>
            </w:r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</w:t>
            </w:r>
          </w:p>
        </w:tc>
      </w:tr>
      <w:tr w:rsidR="00EE6E2B" w:rsidRPr="00015057" w:rsidTr="00E02E10">
        <w:tc>
          <w:tcPr>
            <w:tcW w:w="3932" w:type="dxa"/>
            <w:vMerge w:val="restart"/>
            <w:shd w:val="clear" w:color="auto" w:fill="auto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Other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057">
              <w:rPr>
                <w:rFonts w:ascii="Times New Roman" w:hAnsi="Times New Roman" w:cs="Times New Roman"/>
              </w:rPr>
              <w:t>financial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057">
              <w:rPr>
                <w:rFonts w:ascii="Times New Roman" w:hAnsi="Times New Roman" w:cs="Times New Roman"/>
              </w:rPr>
              <w:t>current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liabilities</w:t>
            </w:r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</w:t>
            </w:r>
          </w:p>
        </w:tc>
      </w:tr>
      <w:tr w:rsidR="00EE6E2B" w:rsidRPr="00015057" w:rsidTr="00E02E10">
        <w:tc>
          <w:tcPr>
            <w:tcW w:w="3932" w:type="dxa"/>
            <w:vMerge/>
            <w:shd w:val="clear" w:color="auto" w:fill="auto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  <w:r w:rsidRPr="00015057">
              <w:rPr>
                <w:rFonts w:ascii="Times New Roman" w:hAnsi="Times New Roman" w:cs="Times New Roman"/>
              </w:rPr>
              <w:t xml:space="preserve">Tax </w:t>
            </w:r>
            <w:proofErr w:type="spellStart"/>
            <w:r w:rsidRPr="00015057">
              <w:rPr>
                <w:rFonts w:ascii="Times New Roman" w:hAnsi="Times New Roman" w:cs="Times New Roman"/>
              </w:rPr>
              <w:t>debt</w:t>
            </w:r>
            <w:proofErr w:type="spellEnd"/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EE6E2B" w:rsidRPr="00015057" w:rsidTr="00E02E10">
        <w:tc>
          <w:tcPr>
            <w:tcW w:w="3932" w:type="dxa"/>
            <w:vMerge/>
            <w:shd w:val="clear" w:color="auto" w:fill="auto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057">
              <w:rPr>
                <w:rFonts w:ascii="Times New Roman" w:hAnsi="Times New Roman" w:cs="Times New Roman"/>
              </w:rPr>
              <w:t>Other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057">
              <w:rPr>
                <w:rFonts w:ascii="Times New Roman" w:hAnsi="Times New Roman" w:cs="Times New Roman"/>
              </w:rPr>
              <w:t>current</w:t>
            </w:r>
            <w:proofErr w:type="spellEnd"/>
            <w:r w:rsidRPr="00015057">
              <w:rPr>
                <w:rFonts w:ascii="Times New Roman" w:hAnsi="Times New Roman" w:cs="Times New Roman"/>
              </w:rPr>
              <w:t xml:space="preserve"> liabilities</w:t>
            </w:r>
          </w:p>
        </w:tc>
        <w:tc>
          <w:tcPr>
            <w:tcW w:w="833" w:type="dxa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EE6E2B" w:rsidRPr="00015057" w:rsidTr="00E02E10">
        <w:tc>
          <w:tcPr>
            <w:tcW w:w="3932" w:type="dxa"/>
            <w:vMerge/>
            <w:shd w:val="clear" w:color="auto" w:fill="auto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shd w:val="clear" w:color="auto" w:fill="BFBFBF" w:themeFill="background1" w:themeFillShade="BF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15057">
              <w:rPr>
                <w:rFonts w:ascii="Times New Roman" w:hAnsi="Times New Roman" w:cs="Times New Roman"/>
                <w:b/>
                <w:lang w:val="en-US"/>
              </w:rPr>
              <w:t>Liabilities related to discontinued operations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EE6E2B" w:rsidRPr="00015057" w:rsidTr="00E02E10">
        <w:tc>
          <w:tcPr>
            <w:tcW w:w="3932" w:type="dxa"/>
            <w:shd w:val="clear" w:color="auto" w:fill="D9D9D9" w:themeFill="background1" w:themeFillShade="D9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5057">
              <w:rPr>
                <w:rFonts w:ascii="Times New Roman" w:hAnsi="Times New Roman" w:cs="Times New Roman"/>
                <w:b/>
              </w:rPr>
              <w:t>TOTAL ASSETS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83.500</w:t>
            </w:r>
          </w:p>
        </w:tc>
        <w:tc>
          <w:tcPr>
            <w:tcW w:w="3540" w:type="dxa"/>
            <w:shd w:val="clear" w:color="auto" w:fill="D9D9D9" w:themeFill="background1" w:themeFillShade="D9"/>
            <w:vAlign w:val="center"/>
          </w:tcPr>
          <w:p w:rsidR="00EE6E2B" w:rsidRPr="00015057" w:rsidRDefault="00EE6E2B" w:rsidP="00E02E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5057">
              <w:rPr>
                <w:rFonts w:ascii="Times New Roman" w:hAnsi="Times New Roman" w:cs="Times New Roman"/>
                <w:b/>
              </w:rPr>
              <w:t>TOTAL LIABILITIES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EE6E2B" w:rsidRPr="00015057" w:rsidRDefault="00EE6E2B" w:rsidP="00E02E1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83.500</w:t>
            </w:r>
          </w:p>
        </w:tc>
      </w:tr>
    </w:tbl>
    <w:p w:rsidR="00EE6E2B" w:rsidRDefault="00EE6E2B" w:rsidP="00EE6E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6E2B" w:rsidRDefault="00EE6E2B" w:rsidP="00EE6E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 reading the Notes to the Financial Statement you also know that:</w:t>
      </w:r>
    </w:p>
    <w:p w:rsidR="00EE6E2B" w:rsidRDefault="00EE6E2B" w:rsidP="00EE6E2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item </w:t>
      </w:r>
      <w:r w:rsidRPr="00BF3255">
        <w:rPr>
          <w:rFonts w:ascii="Times New Roman" w:hAnsi="Times New Roman" w:cs="Times New Roman"/>
          <w:i/>
          <w:sz w:val="24"/>
          <w:szCs w:val="24"/>
          <w:lang w:val="en-US"/>
        </w:rPr>
        <w:t>Property, Plant and Equipment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refers to:</w:t>
      </w:r>
    </w:p>
    <w:p w:rsidR="00EE6E2B" w:rsidRDefault="00EE6E2B" w:rsidP="00BF325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BF3255">
        <w:rPr>
          <w:rFonts w:ascii="Times New Roman" w:hAnsi="Times New Roman" w:cs="Times New Roman"/>
          <w:sz w:val="24"/>
          <w:szCs w:val="24"/>
          <w:u w:val="single"/>
          <w:lang w:val="en-US"/>
        </w:rPr>
        <w:t>production plant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value 12.000 </w:t>
      </w:r>
      <w:bookmarkStart w:id="0" w:name="_Hlk526414169"/>
      <w:r>
        <w:rPr>
          <w:rFonts w:ascii="Times New Roman" w:hAnsi="Times New Roman" w:cs="Times New Roman"/>
          <w:sz w:val="24"/>
          <w:szCs w:val="24"/>
          <w:lang w:val="en-US"/>
        </w:rPr>
        <w:t>k€</w:t>
      </w:r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at the end of 2014 and residual useful life of 4 years (2015 is included)</w:t>
      </w:r>
      <w:r w:rsidR="0097551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E6E2B" w:rsidRDefault="00EE6E2B" w:rsidP="00BF325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BF3255">
        <w:rPr>
          <w:rFonts w:ascii="Times New Roman" w:hAnsi="Times New Roman" w:cs="Times New Roman"/>
          <w:sz w:val="24"/>
          <w:szCs w:val="24"/>
          <w:u w:val="single"/>
          <w:lang w:val="en-US"/>
        </w:rPr>
        <w:t>assembly plant</w:t>
      </w:r>
      <w:r>
        <w:rPr>
          <w:rFonts w:ascii="Times New Roman" w:hAnsi="Times New Roman" w:cs="Times New Roman"/>
          <w:sz w:val="24"/>
          <w:szCs w:val="24"/>
          <w:lang w:val="en-US"/>
        </w:rPr>
        <w:t>, residual life of 3 years at the end of 2014</w:t>
      </w:r>
      <w:r w:rsidR="0097551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E6E2B" w:rsidRDefault="00EE6E2B" w:rsidP="00EE6E2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item </w:t>
      </w:r>
      <w:r w:rsidRPr="00BF3255">
        <w:rPr>
          <w:rFonts w:ascii="Times New Roman" w:hAnsi="Times New Roman" w:cs="Times New Roman"/>
          <w:i/>
          <w:sz w:val="24"/>
          <w:szCs w:val="24"/>
          <w:lang w:val="en-US"/>
        </w:rPr>
        <w:t>Intangible Assets with definite useful life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refers to a single patent, residu</w:t>
      </w:r>
      <w:r w:rsidR="0097551E">
        <w:rPr>
          <w:rFonts w:ascii="Times New Roman" w:hAnsi="Times New Roman" w:cs="Times New Roman"/>
          <w:sz w:val="24"/>
          <w:szCs w:val="24"/>
          <w:lang w:val="en-US"/>
        </w:rPr>
        <w:t>al useful life of 4 years (2015 is included);</w:t>
      </w:r>
    </w:p>
    <w:p w:rsidR="0097551E" w:rsidRDefault="0097551E" w:rsidP="00EE6E2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255">
        <w:rPr>
          <w:rFonts w:ascii="Times New Roman" w:hAnsi="Times New Roman" w:cs="Times New Roman"/>
          <w:i/>
          <w:sz w:val="24"/>
          <w:szCs w:val="24"/>
          <w:lang w:val="en-US"/>
        </w:rPr>
        <w:t>Current debt to banks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refer</w:t>
      </w:r>
      <w:r w:rsidR="006B6AD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a debt started at the beginning of March 2014 (01/03</w:t>
      </w:r>
      <w:r w:rsidR="00BF3255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2014) that will last 1</w:t>
      </w:r>
      <w:r w:rsidR="006B6AD8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months. The total amount of borrowing costs (2.250 </w:t>
      </w:r>
      <w:r w:rsidRPr="0097551E">
        <w:rPr>
          <w:rFonts w:ascii="Times New Roman" w:hAnsi="Times New Roman" w:cs="Times New Roman"/>
          <w:sz w:val="24"/>
          <w:szCs w:val="24"/>
          <w:lang w:val="en-US"/>
        </w:rPr>
        <w:t>k€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will be paid at the end of the debt. The whole value accounted in the item </w:t>
      </w:r>
      <w:r w:rsidRPr="00BF3255">
        <w:rPr>
          <w:rFonts w:ascii="Times New Roman" w:hAnsi="Times New Roman" w:cs="Times New Roman"/>
          <w:i/>
          <w:sz w:val="24"/>
          <w:szCs w:val="24"/>
          <w:lang w:val="en-US"/>
        </w:rPr>
        <w:t>Other current financial liabilities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refers to borrowing costs related to 2014;</w:t>
      </w:r>
    </w:p>
    <w:p w:rsidR="0097551E" w:rsidRDefault="0097551E" w:rsidP="00EE6E2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255">
        <w:rPr>
          <w:rFonts w:ascii="Times New Roman" w:hAnsi="Times New Roman" w:cs="Times New Roman"/>
          <w:i/>
          <w:sz w:val="24"/>
          <w:szCs w:val="24"/>
          <w:lang w:val="en-US"/>
        </w:rPr>
        <w:t>Non-current debt to bank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refers to a single debt started at the end of August 201</w:t>
      </w:r>
      <w:r w:rsidR="00B00432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(31/08/2012) that will last </w:t>
      </w:r>
      <w:r w:rsidR="00B00432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n-US"/>
        </w:rPr>
        <w:t>years. The interest rate is 10% and borrowing costs are paid at the end of the year according to the accrual accounting principle</w:t>
      </w:r>
      <w:r w:rsidR="008B792C">
        <w:rPr>
          <w:rFonts w:ascii="Times New Roman" w:hAnsi="Times New Roman" w:cs="Times New Roman"/>
          <w:sz w:val="24"/>
          <w:szCs w:val="24"/>
          <w:lang w:val="en-US"/>
        </w:rPr>
        <w:t>. Borr</w:t>
      </w:r>
      <w:r w:rsidR="00B00432">
        <w:rPr>
          <w:rFonts w:ascii="Times New Roman" w:hAnsi="Times New Roman" w:cs="Times New Roman"/>
          <w:sz w:val="24"/>
          <w:szCs w:val="24"/>
          <w:lang w:val="en-US"/>
        </w:rPr>
        <w:t xml:space="preserve">owing costs related to 2015 </w:t>
      </w:r>
      <w:proofErr w:type="gramStart"/>
      <w:r w:rsidR="00B00432">
        <w:rPr>
          <w:rFonts w:ascii="Times New Roman" w:hAnsi="Times New Roman" w:cs="Times New Roman"/>
          <w:sz w:val="24"/>
          <w:szCs w:val="24"/>
          <w:lang w:val="en-US"/>
        </w:rPr>
        <w:t>have to</w:t>
      </w:r>
      <w:proofErr w:type="gramEnd"/>
      <w:r w:rsidR="00B00432">
        <w:rPr>
          <w:rFonts w:ascii="Times New Roman" w:hAnsi="Times New Roman" w:cs="Times New Roman"/>
          <w:sz w:val="24"/>
          <w:szCs w:val="24"/>
          <w:lang w:val="en-US"/>
        </w:rPr>
        <w:t xml:space="preserve"> be accounted in the item “Other non-current financial liabilities”.</w:t>
      </w:r>
    </w:p>
    <w:p w:rsidR="0097551E" w:rsidRDefault="0097551E" w:rsidP="00EE6E2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255">
        <w:rPr>
          <w:rFonts w:ascii="Times New Roman" w:hAnsi="Times New Roman" w:cs="Times New Roman"/>
          <w:i/>
          <w:sz w:val="24"/>
          <w:szCs w:val="24"/>
          <w:lang w:val="en-US"/>
        </w:rPr>
        <w:t>Debt to suppliers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accounted at the end of 2014 are paid every three months</w:t>
      </w:r>
      <w:r w:rsidR="006B6AD8">
        <w:rPr>
          <w:rFonts w:ascii="Times New Roman" w:hAnsi="Times New Roman" w:cs="Times New Roman"/>
          <w:sz w:val="24"/>
          <w:szCs w:val="24"/>
          <w:lang w:val="en-US"/>
        </w:rPr>
        <w:t>. Debt to suppliers related to 2014 are paid in January 2015;</w:t>
      </w:r>
    </w:p>
    <w:p w:rsidR="0097551E" w:rsidRDefault="0097551E" w:rsidP="00EE6E2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At the end of October 2012</w:t>
      </w:r>
      <w:r w:rsidR="00BF3255">
        <w:rPr>
          <w:rFonts w:ascii="Times New Roman" w:hAnsi="Times New Roman" w:cs="Times New Roman"/>
          <w:sz w:val="24"/>
          <w:szCs w:val="24"/>
          <w:lang w:val="en-US"/>
        </w:rPr>
        <w:t xml:space="preserve"> (31/10/2012)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Ercole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Company signed an agreement with the Arch company according to which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Ercole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pays a fee to the Arch to use one of its administrative building. The total fee (for 3 years) is 3.600</w:t>
      </w:r>
      <w:r w:rsidRPr="0097551E">
        <w:t xml:space="preserve"> </w:t>
      </w:r>
      <w:r w:rsidRPr="0097551E">
        <w:rPr>
          <w:rFonts w:ascii="Times New Roman" w:hAnsi="Times New Roman" w:cs="Times New Roman"/>
          <w:sz w:val="24"/>
          <w:szCs w:val="24"/>
          <w:lang w:val="en-US"/>
        </w:rPr>
        <w:t>k€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8570D" w:rsidRDefault="00A8570D" w:rsidP="00A857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Furthermore, during 2015, the following events occurred:</w:t>
      </w:r>
    </w:p>
    <w:p w:rsidR="001E1A85" w:rsidRDefault="001E1A85" w:rsidP="001E1A8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Ercole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3F0">
        <w:rPr>
          <w:rFonts w:ascii="Times New Roman" w:hAnsi="Times New Roman" w:cs="Times New Roman"/>
          <w:sz w:val="24"/>
          <w:szCs w:val="24"/>
          <w:lang w:val="en-US"/>
        </w:rPr>
        <w:t xml:space="preserve">is planning to buy a </w:t>
      </w:r>
      <w:r w:rsidR="002670EA">
        <w:rPr>
          <w:rFonts w:ascii="Times New Roman" w:hAnsi="Times New Roman" w:cs="Times New Roman"/>
          <w:sz w:val="24"/>
          <w:szCs w:val="24"/>
          <w:lang w:val="en-US"/>
        </w:rPr>
        <w:t xml:space="preserve">packaging </w:t>
      </w:r>
      <w:r w:rsidR="00B253F0">
        <w:rPr>
          <w:rFonts w:ascii="Times New Roman" w:hAnsi="Times New Roman" w:cs="Times New Roman"/>
          <w:sz w:val="24"/>
          <w:szCs w:val="24"/>
          <w:lang w:val="en-US"/>
        </w:rPr>
        <w:t xml:space="preserve">plant of the One Company and, for this reason,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decided not to distribute the 2014 Net Income to shareholders. </w:t>
      </w:r>
    </w:p>
    <w:p w:rsidR="00E27F75" w:rsidRDefault="00E27F75" w:rsidP="001E1A8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Purchase of raw material (9.000</w:t>
      </w:r>
      <w:r w:rsidRPr="00E27F75">
        <w:rPr>
          <w:lang w:val="en-GB"/>
        </w:rPr>
        <w:t xml:space="preserve"> </w:t>
      </w:r>
      <w:r w:rsidRPr="00E27F75">
        <w:rPr>
          <w:rFonts w:ascii="Times New Roman" w:hAnsi="Times New Roman" w:cs="Times New Roman"/>
          <w:sz w:val="24"/>
          <w:szCs w:val="24"/>
          <w:lang w:val="en-US"/>
        </w:rPr>
        <w:t>k€</w:t>
      </w:r>
      <w:r>
        <w:rPr>
          <w:rFonts w:ascii="Times New Roman" w:hAnsi="Times New Roman" w:cs="Times New Roman"/>
          <w:sz w:val="24"/>
          <w:szCs w:val="24"/>
          <w:lang w:val="en-US"/>
        </w:rPr>
        <w:t>). Average time to pay suppliers is 3 months.</w:t>
      </w:r>
    </w:p>
    <w:p w:rsidR="00E27F75" w:rsidRDefault="00E27F75" w:rsidP="001E1A8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Selling of finished goods, realizing revenues equal to 66.000</w:t>
      </w:r>
      <w:r w:rsidRPr="00E27F75">
        <w:rPr>
          <w:lang w:val="en-GB"/>
        </w:rPr>
        <w:t xml:space="preserve"> </w:t>
      </w:r>
      <w:r w:rsidRPr="00E27F75">
        <w:rPr>
          <w:rFonts w:ascii="Times New Roman" w:hAnsi="Times New Roman" w:cs="Times New Roman"/>
          <w:sz w:val="24"/>
          <w:szCs w:val="24"/>
          <w:lang w:val="en-US"/>
        </w:rPr>
        <w:t>k€</w:t>
      </w:r>
      <w:r>
        <w:rPr>
          <w:rFonts w:ascii="Times New Roman" w:hAnsi="Times New Roman" w:cs="Times New Roman"/>
          <w:sz w:val="24"/>
          <w:szCs w:val="24"/>
          <w:lang w:val="en-US"/>
        </w:rPr>
        <w:t>. Average time to collect receivables is 2 months.</w:t>
      </w:r>
    </w:p>
    <w:p w:rsidR="00E27F75" w:rsidRDefault="007D4E22" w:rsidP="001E1A8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client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Ercole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failed during 2015. This client had a debt equal to 2.000</w:t>
      </w:r>
      <w:r w:rsidRPr="007D4E22">
        <w:rPr>
          <w:lang w:val="en-GB"/>
        </w:rPr>
        <w:t xml:space="preserve"> </w:t>
      </w:r>
      <w:r w:rsidRPr="007D4E22">
        <w:rPr>
          <w:rFonts w:ascii="Times New Roman" w:hAnsi="Times New Roman" w:cs="Times New Roman"/>
          <w:sz w:val="24"/>
          <w:szCs w:val="24"/>
          <w:lang w:val="en-US"/>
        </w:rPr>
        <w:t>k€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but it was </w:t>
      </w:r>
      <w:r w:rsidR="004D0783">
        <w:rPr>
          <w:rFonts w:ascii="Times New Roman" w:hAnsi="Times New Roman" w:cs="Times New Roman"/>
          <w:sz w:val="24"/>
          <w:szCs w:val="24"/>
          <w:lang w:val="en-US"/>
        </w:rPr>
        <w:t>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pay only the 70% of this amount. The </w:t>
      </w:r>
      <w:r w:rsidRPr="007D4E22">
        <w:rPr>
          <w:rFonts w:ascii="Times New Roman" w:hAnsi="Times New Roman" w:cs="Times New Roman"/>
          <w:sz w:val="24"/>
          <w:szCs w:val="24"/>
          <w:u w:val="single"/>
          <w:lang w:val="en-US"/>
        </w:rPr>
        <w:t>remaining part of the commercial receivable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all collected during 2015. </w:t>
      </w:r>
    </w:p>
    <w:p w:rsidR="004D0783" w:rsidRDefault="004D0783" w:rsidP="001E1A8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Financial income equal to </w:t>
      </w:r>
      <w:r w:rsidR="00B809E6">
        <w:rPr>
          <w:rFonts w:ascii="Times New Roman" w:hAnsi="Times New Roman" w:cs="Times New Roman"/>
          <w:sz w:val="24"/>
          <w:szCs w:val="24"/>
          <w:lang w:val="en-US"/>
        </w:rPr>
        <w:t>1.5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Pr="004D0783">
        <w:rPr>
          <w:rFonts w:ascii="Times New Roman" w:hAnsi="Times New Roman" w:cs="Times New Roman"/>
          <w:sz w:val="24"/>
          <w:szCs w:val="24"/>
          <w:lang w:val="en-US"/>
        </w:rPr>
        <w:t>k€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0783" w:rsidRDefault="004D0783" w:rsidP="001E1A8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Cost of administrative staff equal to </w:t>
      </w:r>
      <w:r w:rsidR="002670E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.000 </w:t>
      </w:r>
      <w:r w:rsidRPr="004D0783">
        <w:rPr>
          <w:rFonts w:ascii="Times New Roman" w:hAnsi="Times New Roman" w:cs="Times New Roman"/>
          <w:sz w:val="24"/>
          <w:szCs w:val="24"/>
          <w:lang w:val="en-US"/>
        </w:rPr>
        <w:t>k€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while that of employees working in production process is 8.000 </w:t>
      </w:r>
      <w:r w:rsidRPr="004D0783">
        <w:rPr>
          <w:rFonts w:ascii="Times New Roman" w:hAnsi="Times New Roman" w:cs="Times New Roman"/>
          <w:sz w:val="24"/>
          <w:szCs w:val="24"/>
          <w:lang w:val="en-US"/>
        </w:rPr>
        <w:t>k€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 </w:t>
      </w:r>
      <w:r w:rsidR="002670E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0% of cost of personnel is stored in </w:t>
      </w:r>
      <w:r w:rsidRPr="00BF3255">
        <w:rPr>
          <w:rFonts w:ascii="Times New Roman" w:hAnsi="Times New Roman" w:cs="Times New Roman"/>
          <w:i/>
          <w:sz w:val="24"/>
          <w:szCs w:val="24"/>
          <w:lang w:val="en-US"/>
        </w:rPr>
        <w:t>Fund to Personnel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33A11" w:rsidRDefault="00A33A11" w:rsidP="001E1A8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 the end of the year,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Ercole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decided to buy the packaging plant (point 1). The value of the plant, equal to its price, is 10.000</w:t>
      </w:r>
      <w:r w:rsidRPr="00A33A11">
        <w:rPr>
          <w:lang w:val="en-GB"/>
        </w:rPr>
        <w:t xml:space="preserve"> </w:t>
      </w:r>
      <w:r w:rsidRPr="00A33A11">
        <w:rPr>
          <w:rFonts w:ascii="Times New Roman" w:hAnsi="Times New Roman" w:cs="Times New Roman"/>
          <w:sz w:val="24"/>
          <w:szCs w:val="24"/>
          <w:lang w:val="en-US"/>
        </w:rPr>
        <w:t>k€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its useful life is 5 years. </w:t>
      </w:r>
      <w:proofErr w:type="spellStart"/>
      <w:r w:rsidR="002670EA">
        <w:rPr>
          <w:rFonts w:ascii="Times New Roman" w:hAnsi="Times New Roman" w:cs="Times New Roman"/>
          <w:sz w:val="24"/>
          <w:szCs w:val="24"/>
          <w:lang w:val="en-US"/>
        </w:rPr>
        <w:t>Ercole</w:t>
      </w:r>
      <w:proofErr w:type="spellEnd"/>
      <w:r w:rsidR="002670EA">
        <w:rPr>
          <w:rFonts w:ascii="Times New Roman" w:hAnsi="Times New Roman" w:cs="Times New Roman"/>
          <w:sz w:val="24"/>
          <w:szCs w:val="24"/>
          <w:lang w:val="en-US"/>
        </w:rPr>
        <w:t xml:space="preserve"> company pays the entire amount by cash.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en-US"/>
        </w:rPr>
        <w:t>Depreciation will start in 2016. The company also decided to sell the assembly plant (</w:t>
      </w:r>
      <w:r w:rsidRPr="00A33A11">
        <w:rPr>
          <w:rFonts w:ascii="Times New Roman" w:hAnsi="Times New Roman" w:cs="Times New Roman"/>
          <w:sz w:val="24"/>
          <w:szCs w:val="24"/>
          <w:u w:val="single"/>
          <w:lang w:val="en-US"/>
        </w:rPr>
        <w:t>at the end of the year</w:t>
      </w:r>
      <w:r>
        <w:rPr>
          <w:rFonts w:ascii="Times New Roman" w:hAnsi="Times New Roman" w:cs="Times New Roman"/>
          <w:sz w:val="24"/>
          <w:szCs w:val="24"/>
          <w:lang w:val="en-US"/>
        </w:rPr>
        <w:t>) at a price of 5.000</w:t>
      </w:r>
      <w:r w:rsidRPr="00A33A11">
        <w:rPr>
          <w:lang w:val="en-GB"/>
        </w:rPr>
        <w:t xml:space="preserve"> </w:t>
      </w:r>
      <w:r w:rsidRPr="00A33A11">
        <w:rPr>
          <w:rFonts w:ascii="Times New Roman" w:hAnsi="Times New Roman" w:cs="Times New Roman"/>
          <w:sz w:val="24"/>
          <w:szCs w:val="24"/>
          <w:lang w:val="en-US"/>
        </w:rPr>
        <w:t>k€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F5E40" w:rsidRDefault="00EF5E40" w:rsidP="001E1A8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Total amount of taxes equal to </w:t>
      </w:r>
      <w:r w:rsidR="00D0139E">
        <w:rPr>
          <w:rFonts w:ascii="Times New Roman" w:hAnsi="Times New Roman" w:cs="Times New Roman"/>
          <w:sz w:val="24"/>
          <w:szCs w:val="24"/>
          <w:lang w:val="en-US"/>
        </w:rPr>
        <w:t>10.000</w:t>
      </w:r>
      <w:r w:rsidR="00D0139E" w:rsidRPr="00D0139E">
        <w:t xml:space="preserve"> </w:t>
      </w:r>
      <w:r w:rsidR="00D0139E" w:rsidRPr="00D0139E">
        <w:rPr>
          <w:rFonts w:ascii="Times New Roman" w:hAnsi="Times New Roman" w:cs="Times New Roman"/>
          <w:sz w:val="24"/>
          <w:szCs w:val="24"/>
          <w:lang w:val="en-US"/>
        </w:rPr>
        <w:t>k€</w:t>
      </w:r>
      <w:r w:rsidR="00D0139E">
        <w:rPr>
          <w:rFonts w:ascii="Times New Roman" w:hAnsi="Times New Roman" w:cs="Times New Roman"/>
          <w:sz w:val="24"/>
          <w:szCs w:val="24"/>
          <w:lang w:val="en-US"/>
        </w:rPr>
        <w:t xml:space="preserve">. Only the 40% of tis amount is paid in 2015. </w:t>
      </w:r>
    </w:p>
    <w:p w:rsidR="00D9234D" w:rsidRDefault="00D9234D" w:rsidP="00D923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234D" w:rsidRDefault="00D9234D" w:rsidP="00D923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 the end, the Impairment test, carried out at the </w:t>
      </w:r>
      <w:r w:rsidR="00337C36">
        <w:rPr>
          <w:rFonts w:ascii="Times New Roman" w:hAnsi="Times New Roman" w:cs="Times New Roman"/>
          <w:sz w:val="24"/>
          <w:szCs w:val="24"/>
          <w:u w:val="single"/>
          <w:lang w:val="en-US"/>
        </w:rPr>
        <w:t>end</w:t>
      </w:r>
      <w:r w:rsidRPr="00D9234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2015</w:t>
      </w:r>
      <w:r>
        <w:rPr>
          <w:rFonts w:ascii="Times New Roman" w:hAnsi="Times New Roman" w:cs="Times New Roman"/>
          <w:sz w:val="24"/>
          <w:szCs w:val="24"/>
          <w:lang w:val="en-US"/>
        </w:rPr>
        <w:t>, reported:</w:t>
      </w:r>
    </w:p>
    <w:p w:rsidR="00D9234D" w:rsidRDefault="00D9234D" w:rsidP="00D9234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loss of value (250</w:t>
      </w:r>
      <w:r w:rsidRPr="00D9234D">
        <w:rPr>
          <w:lang w:val="en-GB"/>
        </w:rPr>
        <w:t xml:space="preserve"> </w:t>
      </w:r>
      <w:r w:rsidRPr="00D9234D">
        <w:rPr>
          <w:rFonts w:ascii="Times New Roman" w:hAnsi="Times New Roman" w:cs="Times New Roman"/>
          <w:sz w:val="24"/>
          <w:szCs w:val="24"/>
          <w:lang w:val="en-US"/>
        </w:rPr>
        <w:t>k€</w:t>
      </w:r>
      <w:r>
        <w:rPr>
          <w:rFonts w:ascii="Times New Roman" w:hAnsi="Times New Roman" w:cs="Times New Roman"/>
          <w:sz w:val="24"/>
          <w:szCs w:val="24"/>
          <w:lang w:val="en-US"/>
        </w:rPr>
        <w:t>) with respect to the production plant</w:t>
      </w:r>
    </w:p>
    <w:p w:rsidR="00D9234D" w:rsidRDefault="00D9234D" w:rsidP="00D9234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loss of value (700 </w:t>
      </w:r>
      <w:r w:rsidRPr="00D9234D">
        <w:rPr>
          <w:rFonts w:ascii="Times New Roman" w:hAnsi="Times New Roman" w:cs="Times New Roman"/>
          <w:sz w:val="24"/>
          <w:szCs w:val="24"/>
          <w:lang w:val="en-US"/>
        </w:rPr>
        <w:t>k€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with respect to the item </w:t>
      </w:r>
      <w:r w:rsidRPr="00BF3255">
        <w:rPr>
          <w:rFonts w:ascii="Times New Roman" w:hAnsi="Times New Roman" w:cs="Times New Roman"/>
          <w:i/>
          <w:sz w:val="24"/>
          <w:szCs w:val="24"/>
          <w:lang w:val="en-US"/>
        </w:rPr>
        <w:t>Intangible assets with indefinite useful life</w:t>
      </w:r>
    </w:p>
    <w:p w:rsidR="00D9234D" w:rsidRDefault="00D9234D" w:rsidP="00D923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2DC2" w:rsidRPr="00BF3255" w:rsidRDefault="00D923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255">
        <w:rPr>
          <w:rFonts w:ascii="Times New Roman" w:hAnsi="Times New Roman" w:cs="Times New Roman"/>
          <w:sz w:val="24"/>
          <w:szCs w:val="24"/>
          <w:lang w:val="en-US"/>
        </w:rPr>
        <w:t xml:space="preserve">Please, considering you </w:t>
      </w:r>
      <w:proofErr w:type="gramStart"/>
      <w:r w:rsidRPr="00BF3255">
        <w:rPr>
          <w:rFonts w:ascii="Times New Roman" w:hAnsi="Times New Roman" w:cs="Times New Roman"/>
          <w:sz w:val="24"/>
          <w:szCs w:val="24"/>
          <w:lang w:val="en-US"/>
        </w:rPr>
        <w:t>have to</w:t>
      </w:r>
      <w:proofErr w:type="gramEnd"/>
      <w:r w:rsidRPr="00BF3255">
        <w:rPr>
          <w:rFonts w:ascii="Times New Roman" w:hAnsi="Times New Roman" w:cs="Times New Roman"/>
          <w:sz w:val="24"/>
          <w:szCs w:val="24"/>
          <w:lang w:val="en-US"/>
        </w:rPr>
        <w:t xml:space="preserve"> provide the 2015 Balance Sheet, account for the event described above.</w:t>
      </w:r>
      <w:r w:rsidR="006B6AD8">
        <w:rPr>
          <w:rFonts w:ascii="Times New Roman" w:hAnsi="Times New Roman" w:cs="Times New Roman"/>
          <w:sz w:val="24"/>
          <w:szCs w:val="24"/>
          <w:lang w:val="en-US"/>
        </w:rPr>
        <w:t xml:space="preserve"> Furthermore, you are also required to provide the 2015 Income Statement</w:t>
      </w:r>
    </w:p>
    <w:sectPr w:rsidR="00832DC2" w:rsidRPr="00BF3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966" w:rsidRDefault="007D5966" w:rsidP="00EE6E2B">
      <w:pPr>
        <w:spacing w:after="0" w:line="240" w:lineRule="auto"/>
      </w:pPr>
      <w:r>
        <w:separator/>
      </w:r>
    </w:p>
  </w:endnote>
  <w:endnote w:type="continuationSeparator" w:id="0">
    <w:p w:rsidR="007D5966" w:rsidRDefault="007D5966" w:rsidP="00EE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966" w:rsidRDefault="007D5966" w:rsidP="00EE6E2B">
      <w:pPr>
        <w:spacing w:after="0" w:line="240" w:lineRule="auto"/>
      </w:pPr>
      <w:r>
        <w:separator/>
      </w:r>
    </w:p>
  </w:footnote>
  <w:footnote w:type="continuationSeparator" w:id="0">
    <w:p w:rsidR="007D5966" w:rsidRDefault="007D5966" w:rsidP="00EE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3F9B"/>
    <w:multiLevelType w:val="hybridMultilevel"/>
    <w:tmpl w:val="F69ECA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D6125"/>
    <w:multiLevelType w:val="hybridMultilevel"/>
    <w:tmpl w:val="37C276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37E2B"/>
    <w:multiLevelType w:val="hybridMultilevel"/>
    <w:tmpl w:val="5288C4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3A9A"/>
    <w:multiLevelType w:val="hybridMultilevel"/>
    <w:tmpl w:val="0E9CEB1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57E43"/>
    <w:multiLevelType w:val="hybridMultilevel"/>
    <w:tmpl w:val="88CC72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C2"/>
    <w:rsid w:val="000D0DFE"/>
    <w:rsid w:val="0019148D"/>
    <w:rsid w:val="001970CD"/>
    <w:rsid w:val="001E1A85"/>
    <w:rsid w:val="002670EA"/>
    <w:rsid w:val="00337C36"/>
    <w:rsid w:val="004D0783"/>
    <w:rsid w:val="00655E86"/>
    <w:rsid w:val="006B6AD8"/>
    <w:rsid w:val="007D4E22"/>
    <w:rsid w:val="007D5966"/>
    <w:rsid w:val="00832DC2"/>
    <w:rsid w:val="008B792C"/>
    <w:rsid w:val="0097551E"/>
    <w:rsid w:val="00A33A11"/>
    <w:rsid w:val="00A8570D"/>
    <w:rsid w:val="00B00432"/>
    <w:rsid w:val="00B253F0"/>
    <w:rsid w:val="00B809E6"/>
    <w:rsid w:val="00BF3255"/>
    <w:rsid w:val="00D0139E"/>
    <w:rsid w:val="00D9234D"/>
    <w:rsid w:val="00DD2098"/>
    <w:rsid w:val="00E27F75"/>
    <w:rsid w:val="00E42BB1"/>
    <w:rsid w:val="00EE6E2B"/>
    <w:rsid w:val="00EF5E40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4D32"/>
  <w15:chartTrackingRefBased/>
  <w15:docId w15:val="{B6BC9EAE-44AF-4F2C-83AD-226518F8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6E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6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E2B"/>
  </w:style>
  <w:style w:type="paragraph" w:styleId="Pidipagina">
    <w:name w:val="footer"/>
    <w:basedOn w:val="Normale"/>
    <w:link w:val="PidipaginaCarattere"/>
    <w:uiPriority w:val="99"/>
    <w:unhideWhenUsed/>
    <w:rsid w:val="00EE6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E2B"/>
  </w:style>
  <w:style w:type="table" w:styleId="Grigliatabella">
    <w:name w:val="Table Grid"/>
    <w:basedOn w:val="Tabellanormale"/>
    <w:uiPriority w:val="39"/>
    <w:rsid w:val="00EE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Dal Molin</dc:creator>
  <cp:keywords/>
  <dc:description/>
  <cp:lastModifiedBy>Martina Dal Molin</cp:lastModifiedBy>
  <cp:revision>17</cp:revision>
  <dcterms:created xsi:type="dcterms:W3CDTF">2018-10-04T08:47:00Z</dcterms:created>
  <dcterms:modified xsi:type="dcterms:W3CDTF">2019-10-07T12:29:00Z</dcterms:modified>
</cp:coreProperties>
</file>